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50801" w14:textId="1A22954C" w:rsidR="005D3752" w:rsidRPr="00F328F9" w:rsidRDefault="005D3752" w:rsidP="00F328F9">
      <w:pPr>
        <w:pStyle w:val="NormalWeb"/>
        <w:shd w:val="clear" w:color="auto" w:fill="FFFFFF"/>
        <w:spacing w:before="0" w:beforeAutospacing="0" w:after="0" w:afterAutospacing="0"/>
        <w:ind w:left="0"/>
        <w:rPr>
          <w:rStyle w:val="Emphasis"/>
          <w:b/>
          <w:i w:val="0"/>
          <w:color w:val="000000"/>
          <w:sz w:val="22"/>
          <w:szCs w:val="22"/>
          <w:shd w:val="clear" w:color="auto" w:fill="FFFFFF"/>
        </w:rPr>
      </w:pPr>
      <w:r w:rsidRPr="00F328F9">
        <w:rPr>
          <w:rStyle w:val="Emphasis"/>
          <w:b/>
          <w:i w:val="0"/>
          <w:color w:val="000000"/>
          <w:sz w:val="22"/>
          <w:szCs w:val="22"/>
          <w:shd w:val="clear" w:color="auto" w:fill="FFFFFF"/>
        </w:rPr>
        <w:t xml:space="preserve">Conditions: </w:t>
      </w:r>
      <w:bookmarkStart w:id="0" w:name="_GoBack"/>
      <w:bookmarkEnd w:id="0"/>
    </w:p>
    <w:p w14:paraId="3BC636F6" w14:textId="77777777" w:rsidR="00F328F9" w:rsidRPr="000C6EB4" w:rsidRDefault="00F328F9" w:rsidP="00F328F9">
      <w:pPr>
        <w:pStyle w:val="NormalWeb"/>
        <w:shd w:val="clear" w:color="auto" w:fill="FFFFFF"/>
        <w:spacing w:before="0" w:beforeAutospacing="0" w:after="0" w:afterAutospacing="0"/>
        <w:ind w:left="0"/>
        <w:rPr>
          <w:rStyle w:val="Emphasis"/>
          <w:i w:val="0"/>
          <w:color w:val="000000"/>
          <w:sz w:val="22"/>
          <w:szCs w:val="22"/>
          <w:shd w:val="clear" w:color="auto" w:fill="FFFFFF"/>
        </w:rPr>
      </w:pPr>
    </w:p>
    <w:tbl>
      <w:tblPr>
        <w:tblStyle w:val="TableGrid"/>
        <w:tblW w:w="0" w:type="auto"/>
        <w:tblInd w:w="108" w:type="dxa"/>
        <w:tblLook w:val="04A0" w:firstRow="1" w:lastRow="0" w:firstColumn="1" w:lastColumn="0" w:noHBand="0" w:noVBand="1"/>
      </w:tblPr>
      <w:tblGrid>
        <w:gridCol w:w="3119"/>
        <w:gridCol w:w="6380"/>
      </w:tblGrid>
      <w:tr w:rsidR="00F328F9" w:rsidRPr="000C6EB4" w14:paraId="6B7E7232" w14:textId="77777777" w:rsidTr="00F328F9">
        <w:tc>
          <w:tcPr>
            <w:tcW w:w="3119" w:type="dxa"/>
          </w:tcPr>
          <w:p w14:paraId="48C10CB1" w14:textId="77777777" w:rsidR="005D3752" w:rsidRPr="000C6EB4" w:rsidRDefault="006C0237" w:rsidP="005D3752">
            <w:pPr>
              <w:pStyle w:val="NormalWeb"/>
              <w:spacing w:before="0" w:beforeAutospacing="0" w:after="0" w:afterAutospacing="0"/>
              <w:ind w:left="0"/>
              <w:rPr>
                <w:rStyle w:val="Emphasis"/>
                <w:b/>
                <w:i w:val="0"/>
                <w:color w:val="000000"/>
                <w:sz w:val="22"/>
                <w:szCs w:val="22"/>
                <w:shd w:val="clear" w:color="auto" w:fill="FFFFFF"/>
              </w:rPr>
            </w:pPr>
            <w:r w:rsidRPr="000C6EB4">
              <w:rPr>
                <w:rStyle w:val="Emphasis"/>
                <w:b/>
                <w:i w:val="0"/>
                <w:color w:val="000000"/>
                <w:sz w:val="22"/>
                <w:szCs w:val="22"/>
                <w:shd w:val="clear" w:color="auto" w:fill="FFFFFF"/>
              </w:rPr>
              <w:t xml:space="preserve">Particulars </w:t>
            </w:r>
          </w:p>
        </w:tc>
        <w:tc>
          <w:tcPr>
            <w:tcW w:w="6380" w:type="dxa"/>
          </w:tcPr>
          <w:p w14:paraId="3110C5BB" w14:textId="77777777" w:rsidR="005D3752" w:rsidRPr="000C6EB4" w:rsidRDefault="006C0237" w:rsidP="005D3752">
            <w:pPr>
              <w:pStyle w:val="NormalWeb"/>
              <w:spacing w:before="0" w:beforeAutospacing="0" w:after="0" w:afterAutospacing="0"/>
              <w:ind w:left="0"/>
              <w:rPr>
                <w:rStyle w:val="Emphasis"/>
                <w:b/>
                <w:i w:val="0"/>
                <w:color w:val="000000"/>
                <w:sz w:val="22"/>
                <w:szCs w:val="22"/>
                <w:shd w:val="clear" w:color="auto" w:fill="FFFFFF"/>
              </w:rPr>
            </w:pPr>
            <w:r w:rsidRPr="000C6EB4">
              <w:rPr>
                <w:rStyle w:val="Emphasis"/>
                <w:b/>
                <w:i w:val="0"/>
                <w:color w:val="000000"/>
                <w:sz w:val="22"/>
                <w:szCs w:val="22"/>
                <w:shd w:val="clear" w:color="auto" w:fill="FFFFFF"/>
              </w:rPr>
              <w:t>Conditions / Requirements</w:t>
            </w:r>
          </w:p>
        </w:tc>
      </w:tr>
      <w:tr w:rsidR="00F328F9" w:rsidRPr="000C6EB4" w14:paraId="319EF344" w14:textId="77777777" w:rsidTr="00F328F9">
        <w:tc>
          <w:tcPr>
            <w:tcW w:w="3119" w:type="dxa"/>
          </w:tcPr>
          <w:p w14:paraId="6CEFCB24" w14:textId="77777777" w:rsidR="009F4A51" w:rsidRPr="000C6EB4" w:rsidRDefault="009F4A51" w:rsidP="009F4A51">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Definitions </w:t>
            </w:r>
          </w:p>
        </w:tc>
        <w:tc>
          <w:tcPr>
            <w:tcW w:w="6380" w:type="dxa"/>
          </w:tcPr>
          <w:p w14:paraId="6C289FC9" w14:textId="77777777" w:rsidR="009F4A51" w:rsidRDefault="009F4A51" w:rsidP="009F4A51">
            <w:pPr>
              <w:pStyle w:val="NormalWeb"/>
              <w:spacing w:before="0" w:beforeAutospacing="0" w:after="0" w:afterAutospacing="0"/>
              <w:ind w:left="0"/>
              <w:rPr>
                <w:sz w:val="22"/>
                <w:szCs w:val="22"/>
              </w:rPr>
            </w:pPr>
            <w:r w:rsidRPr="000C6EB4">
              <w:rPr>
                <w:sz w:val="22"/>
                <w:szCs w:val="22"/>
              </w:rPr>
              <w:t xml:space="preserve">An important amendment in the proposed new legislation is the express inclusion of the definition of ‘Buyback period’ to mean the period between the date of board of </w:t>
            </w:r>
            <w:proofErr w:type="gramStart"/>
            <w:r w:rsidRPr="000C6EB4">
              <w:rPr>
                <w:sz w:val="22"/>
                <w:szCs w:val="22"/>
              </w:rPr>
              <w:t>directors</w:t>
            </w:r>
            <w:proofErr w:type="gramEnd"/>
            <w:r w:rsidRPr="000C6EB4">
              <w:rPr>
                <w:sz w:val="22"/>
                <w:szCs w:val="22"/>
              </w:rPr>
              <w:t xml:space="preserve"> resolution or date of declaration of results of the postal ballot for special resolution, as the case may be, to authorize buyback of shares of the company and the date on which the payment of consideration to shareholders who have accepted the buyback offer is made</w:t>
            </w:r>
          </w:p>
          <w:p w14:paraId="46512255" w14:textId="77777777" w:rsidR="00F328F9" w:rsidRPr="000C6EB4" w:rsidRDefault="00F328F9" w:rsidP="009F4A51">
            <w:pPr>
              <w:pStyle w:val="NormalWeb"/>
              <w:spacing w:before="0" w:beforeAutospacing="0" w:after="0" w:afterAutospacing="0"/>
              <w:ind w:left="0"/>
              <w:rPr>
                <w:rStyle w:val="Emphasis"/>
                <w:b/>
                <w:i w:val="0"/>
                <w:color w:val="000000"/>
                <w:sz w:val="22"/>
                <w:szCs w:val="22"/>
                <w:shd w:val="clear" w:color="auto" w:fill="FFFFFF"/>
              </w:rPr>
            </w:pPr>
          </w:p>
        </w:tc>
      </w:tr>
      <w:tr w:rsidR="00F328F9" w:rsidRPr="000C6EB4" w14:paraId="2A4D779D" w14:textId="77777777" w:rsidTr="00F328F9">
        <w:tc>
          <w:tcPr>
            <w:tcW w:w="3119" w:type="dxa"/>
          </w:tcPr>
          <w:p w14:paraId="39E7501F" w14:textId="77777777" w:rsidR="006C0237" w:rsidRPr="000C6EB4" w:rsidRDefault="006C0237" w:rsidP="005D3752">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Maximum limit of any buy-back </w:t>
            </w:r>
          </w:p>
        </w:tc>
        <w:tc>
          <w:tcPr>
            <w:tcW w:w="6380" w:type="dxa"/>
          </w:tcPr>
          <w:p w14:paraId="79F9759F" w14:textId="77777777" w:rsidR="006C0237" w:rsidRPr="000C6EB4" w:rsidRDefault="006C0237" w:rsidP="005D3752">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25% or less of the aggregate paid up capital and free reserves of the company.</w:t>
            </w:r>
            <w:r w:rsidR="00DD6F13" w:rsidRPr="000C6EB4">
              <w:rPr>
                <w:rStyle w:val="Emphasis"/>
                <w:i w:val="0"/>
                <w:color w:val="000000"/>
                <w:sz w:val="22"/>
                <w:szCs w:val="22"/>
                <w:shd w:val="clear" w:color="auto" w:fill="FFFFFF"/>
              </w:rPr>
              <w:t xml:space="preserve"> </w:t>
            </w:r>
          </w:p>
          <w:p w14:paraId="6D86D0FC" w14:textId="77777777" w:rsidR="00F328F9" w:rsidRDefault="006C0237" w:rsidP="006C0237">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In case of buy-back of equity share capital, then the maximum limit shall be 25% of the total paid up equity capital in that financial year  </w:t>
            </w:r>
          </w:p>
          <w:p w14:paraId="72225616" w14:textId="680C5432" w:rsidR="006C0237" w:rsidRPr="000C6EB4" w:rsidRDefault="006C0237" w:rsidP="006C0237">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  </w:t>
            </w:r>
          </w:p>
        </w:tc>
      </w:tr>
      <w:tr w:rsidR="00F328F9" w:rsidRPr="000C6EB4" w14:paraId="3936B655" w14:textId="77777777" w:rsidTr="00F328F9">
        <w:tc>
          <w:tcPr>
            <w:tcW w:w="3119" w:type="dxa"/>
          </w:tcPr>
          <w:p w14:paraId="74FC63B7" w14:textId="77777777" w:rsidR="002E0B0B" w:rsidRDefault="006C0237" w:rsidP="009D01E6">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Debt –equity ratio post Buy-back</w:t>
            </w:r>
            <w:r w:rsidR="009D01E6">
              <w:rPr>
                <w:rStyle w:val="Emphasis"/>
                <w:i w:val="0"/>
                <w:color w:val="000000"/>
                <w:sz w:val="22"/>
                <w:szCs w:val="22"/>
                <w:shd w:val="clear" w:color="auto" w:fill="FFFFFF"/>
              </w:rPr>
              <w:t xml:space="preserve"> </w:t>
            </w:r>
          </w:p>
          <w:p w14:paraId="78F291FB" w14:textId="77777777" w:rsidR="00F328F9" w:rsidRPr="000C6EB4" w:rsidRDefault="00F328F9" w:rsidP="009D01E6">
            <w:pPr>
              <w:pStyle w:val="NormalWeb"/>
              <w:spacing w:before="0" w:beforeAutospacing="0" w:after="0" w:afterAutospacing="0"/>
              <w:ind w:left="0"/>
              <w:rPr>
                <w:rStyle w:val="Emphasis"/>
                <w:i w:val="0"/>
                <w:color w:val="000000"/>
                <w:sz w:val="22"/>
                <w:szCs w:val="22"/>
                <w:shd w:val="clear" w:color="auto" w:fill="FFFFFF"/>
              </w:rPr>
            </w:pPr>
          </w:p>
        </w:tc>
        <w:tc>
          <w:tcPr>
            <w:tcW w:w="6380" w:type="dxa"/>
          </w:tcPr>
          <w:p w14:paraId="0CD7431F" w14:textId="77777777" w:rsidR="006C0237" w:rsidRPr="000C6EB4" w:rsidRDefault="006C0237" w:rsidP="005D3752">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2:1</w:t>
            </w:r>
            <w:r w:rsidR="00DD6F13" w:rsidRPr="000C6EB4">
              <w:rPr>
                <w:rStyle w:val="Emphasis"/>
                <w:i w:val="0"/>
                <w:color w:val="000000"/>
                <w:sz w:val="22"/>
                <w:szCs w:val="22"/>
                <w:shd w:val="clear" w:color="auto" w:fill="FFFFFF"/>
              </w:rPr>
              <w:t xml:space="preserve"> </w:t>
            </w:r>
          </w:p>
        </w:tc>
      </w:tr>
      <w:tr w:rsidR="00F328F9" w:rsidRPr="000C6EB4" w14:paraId="2C18F27A" w14:textId="77777777" w:rsidTr="00F328F9">
        <w:tc>
          <w:tcPr>
            <w:tcW w:w="3119" w:type="dxa"/>
          </w:tcPr>
          <w:p w14:paraId="02FDABF5" w14:textId="77777777" w:rsidR="002E0B0B" w:rsidRPr="000C6EB4" w:rsidRDefault="006C0237" w:rsidP="006C0237">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Shares / other specified Securities that can be bought back</w:t>
            </w:r>
          </w:p>
          <w:p w14:paraId="58BA77A5" w14:textId="77777777" w:rsidR="006C0237" w:rsidRPr="000C6EB4" w:rsidRDefault="006C0237" w:rsidP="006C0237">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  </w:t>
            </w:r>
          </w:p>
        </w:tc>
        <w:tc>
          <w:tcPr>
            <w:tcW w:w="6380" w:type="dxa"/>
          </w:tcPr>
          <w:p w14:paraId="048CE424" w14:textId="77777777" w:rsidR="006C0237" w:rsidRPr="000C6EB4" w:rsidRDefault="006C0237" w:rsidP="006C0237">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Only fully paid up shares /other specified securities can be bought back </w:t>
            </w:r>
          </w:p>
        </w:tc>
      </w:tr>
      <w:tr w:rsidR="00F328F9" w:rsidRPr="000C6EB4" w14:paraId="2C39E213" w14:textId="77777777" w:rsidTr="00F328F9">
        <w:tc>
          <w:tcPr>
            <w:tcW w:w="3119" w:type="dxa"/>
          </w:tcPr>
          <w:p w14:paraId="541AEB0A" w14:textId="77777777" w:rsidR="006C0237" w:rsidRPr="000C6EB4" w:rsidRDefault="005D77A5" w:rsidP="006C0237">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Methods of Buy-back </w:t>
            </w:r>
          </w:p>
        </w:tc>
        <w:tc>
          <w:tcPr>
            <w:tcW w:w="6380" w:type="dxa"/>
          </w:tcPr>
          <w:p w14:paraId="27B7CBBB" w14:textId="77777777" w:rsidR="006C0237" w:rsidRPr="000C6EB4" w:rsidRDefault="005D77A5" w:rsidP="005D77A5">
            <w:pPr>
              <w:pStyle w:val="NormalWeb"/>
              <w:numPr>
                <w:ilvl w:val="0"/>
                <w:numId w:val="10"/>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from existing share / security holders on proportionate basis through tender offer,</w:t>
            </w:r>
          </w:p>
          <w:p w14:paraId="510F8A64" w14:textId="77777777" w:rsidR="005D77A5" w:rsidRPr="000C6EB4" w:rsidRDefault="005D77A5" w:rsidP="005D77A5">
            <w:pPr>
              <w:pStyle w:val="NormalWeb"/>
              <w:numPr>
                <w:ilvl w:val="0"/>
                <w:numId w:val="10"/>
              </w:numPr>
              <w:spacing w:before="0" w:beforeAutospacing="0" w:after="0" w:afterAutospacing="0"/>
              <w:rPr>
                <w:rStyle w:val="Emphasis"/>
                <w:color w:val="000000"/>
                <w:sz w:val="22"/>
                <w:szCs w:val="22"/>
                <w:shd w:val="clear" w:color="auto" w:fill="FFFFFF"/>
              </w:rPr>
            </w:pPr>
            <w:r w:rsidRPr="000C6EB4">
              <w:rPr>
                <w:rStyle w:val="Emphasis"/>
                <w:i w:val="0"/>
                <w:color w:val="000000"/>
                <w:sz w:val="22"/>
                <w:szCs w:val="22"/>
                <w:shd w:val="clear" w:color="auto" w:fill="FFFFFF"/>
              </w:rPr>
              <w:t>from open market through book building process / stock exchange,</w:t>
            </w:r>
            <w:r w:rsidR="002E0B0B" w:rsidRPr="000C6EB4">
              <w:rPr>
                <w:rStyle w:val="Emphasis"/>
                <w:i w:val="0"/>
                <w:color w:val="000000"/>
                <w:sz w:val="22"/>
                <w:szCs w:val="22"/>
                <w:shd w:val="clear" w:color="auto" w:fill="FFFFFF"/>
              </w:rPr>
              <w:t xml:space="preserve"> </w:t>
            </w:r>
            <w:r w:rsidR="002E0B0B" w:rsidRPr="000C6EB4">
              <w:rPr>
                <w:rStyle w:val="Emphasis"/>
                <w:color w:val="000000"/>
                <w:sz w:val="22"/>
                <w:szCs w:val="22"/>
                <w:shd w:val="clear" w:color="auto" w:fill="FFFFFF"/>
              </w:rPr>
              <w:t>(not more than 15% from open market)</w:t>
            </w:r>
          </w:p>
          <w:p w14:paraId="734069D6" w14:textId="77777777" w:rsidR="005D77A5" w:rsidRDefault="005D77A5" w:rsidP="005D77A5">
            <w:pPr>
              <w:pStyle w:val="NormalWeb"/>
              <w:numPr>
                <w:ilvl w:val="0"/>
                <w:numId w:val="10"/>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from odd lot holders</w:t>
            </w:r>
          </w:p>
          <w:p w14:paraId="5C3D06C7" w14:textId="3C06FDB9" w:rsidR="00F328F9" w:rsidRPr="000C6EB4" w:rsidRDefault="00F328F9" w:rsidP="00F328F9">
            <w:pPr>
              <w:pStyle w:val="NormalWeb"/>
              <w:spacing w:before="0" w:beforeAutospacing="0" w:after="0" w:afterAutospacing="0"/>
              <w:ind w:left="1080"/>
              <w:rPr>
                <w:rStyle w:val="Emphasis"/>
                <w:i w:val="0"/>
                <w:color w:val="000000"/>
                <w:sz w:val="22"/>
                <w:szCs w:val="22"/>
                <w:shd w:val="clear" w:color="auto" w:fill="FFFFFF"/>
              </w:rPr>
            </w:pPr>
          </w:p>
        </w:tc>
      </w:tr>
      <w:tr w:rsidR="00F328F9" w:rsidRPr="000C6EB4" w14:paraId="2A8F9291" w14:textId="77777777" w:rsidTr="00F328F9">
        <w:tc>
          <w:tcPr>
            <w:tcW w:w="3119" w:type="dxa"/>
          </w:tcPr>
          <w:p w14:paraId="43A2CE51" w14:textId="77777777" w:rsidR="00C30570" w:rsidRPr="000C6EB4" w:rsidRDefault="00C30570" w:rsidP="00C30570">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General conditions </w:t>
            </w:r>
          </w:p>
        </w:tc>
        <w:tc>
          <w:tcPr>
            <w:tcW w:w="6380" w:type="dxa"/>
          </w:tcPr>
          <w:p w14:paraId="57D1C3FA" w14:textId="77777777" w:rsidR="00C30570" w:rsidRPr="000C6EB4" w:rsidRDefault="00C30570" w:rsidP="00C30570">
            <w:pPr>
              <w:pStyle w:val="NormalWeb"/>
              <w:numPr>
                <w:ilvl w:val="0"/>
                <w:numId w:val="13"/>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Buy-back should be authorized </w:t>
            </w:r>
            <w:r w:rsidR="0071285A" w:rsidRPr="000C6EB4">
              <w:rPr>
                <w:rStyle w:val="Emphasis"/>
                <w:i w:val="0"/>
                <w:color w:val="000000"/>
                <w:sz w:val="22"/>
                <w:szCs w:val="22"/>
                <w:shd w:val="clear" w:color="auto" w:fill="FFFFFF"/>
              </w:rPr>
              <w:t xml:space="preserve"> by </w:t>
            </w:r>
            <w:r w:rsidRPr="000C6EB4">
              <w:rPr>
                <w:rStyle w:val="Emphasis"/>
                <w:i w:val="0"/>
                <w:color w:val="000000"/>
                <w:sz w:val="22"/>
                <w:szCs w:val="22"/>
                <w:shd w:val="clear" w:color="auto" w:fill="FFFFFF"/>
              </w:rPr>
              <w:t>the Articles of Association</w:t>
            </w:r>
          </w:p>
          <w:p w14:paraId="255843C2" w14:textId="77777777" w:rsidR="00C30570" w:rsidRPr="000C6EB4" w:rsidRDefault="00B472B5" w:rsidP="00B472B5">
            <w:pPr>
              <w:pStyle w:val="NormalWeb"/>
              <w:numPr>
                <w:ilvl w:val="0"/>
                <w:numId w:val="13"/>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E</w:t>
            </w:r>
            <w:r w:rsidR="00C30570" w:rsidRPr="000C6EB4">
              <w:rPr>
                <w:rStyle w:val="Emphasis"/>
                <w:i w:val="0"/>
                <w:color w:val="000000"/>
                <w:sz w:val="22"/>
                <w:szCs w:val="22"/>
                <w:shd w:val="clear" w:color="auto" w:fill="FFFFFF"/>
              </w:rPr>
              <w:t>xcept as specified in the Regulation, the Buy-back should be authorized by a special resolution in the general meeting.</w:t>
            </w:r>
            <w:r w:rsidRPr="000C6EB4">
              <w:rPr>
                <w:rStyle w:val="Emphasis"/>
                <w:i w:val="0"/>
                <w:color w:val="000000"/>
                <w:sz w:val="22"/>
                <w:szCs w:val="22"/>
                <w:shd w:val="clear" w:color="auto" w:fill="FFFFFF"/>
              </w:rPr>
              <w:t xml:space="preserve"> </w:t>
            </w:r>
          </w:p>
          <w:p w14:paraId="09292976" w14:textId="77777777" w:rsidR="00B472B5" w:rsidRDefault="00963434" w:rsidP="00C57176">
            <w:pPr>
              <w:pStyle w:val="NormalWeb"/>
              <w:numPr>
                <w:ilvl w:val="0"/>
                <w:numId w:val="13"/>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Separate Bank account to be opened and funds for shares / securities to be bought back </w:t>
            </w:r>
            <w:r w:rsidR="00C57176" w:rsidRPr="000C6EB4">
              <w:rPr>
                <w:rStyle w:val="Emphasis"/>
                <w:i w:val="0"/>
                <w:color w:val="000000"/>
                <w:sz w:val="22"/>
                <w:szCs w:val="22"/>
                <w:shd w:val="clear" w:color="auto" w:fill="FFFFFF"/>
              </w:rPr>
              <w:t xml:space="preserve">to be deposited therein. </w:t>
            </w:r>
          </w:p>
          <w:p w14:paraId="462C3F92" w14:textId="77777777" w:rsidR="00F328F9" w:rsidRPr="000C6EB4" w:rsidRDefault="00F328F9" w:rsidP="00F328F9">
            <w:pPr>
              <w:pStyle w:val="NormalWeb"/>
              <w:spacing w:before="0" w:beforeAutospacing="0" w:after="0" w:afterAutospacing="0"/>
              <w:rPr>
                <w:rStyle w:val="Emphasis"/>
                <w:i w:val="0"/>
                <w:color w:val="000000"/>
                <w:sz w:val="22"/>
                <w:szCs w:val="22"/>
                <w:shd w:val="clear" w:color="auto" w:fill="FFFFFF"/>
              </w:rPr>
            </w:pPr>
          </w:p>
        </w:tc>
      </w:tr>
      <w:tr w:rsidR="00F328F9" w:rsidRPr="000C6EB4" w14:paraId="29A412B3" w14:textId="77777777" w:rsidTr="00F328F9">
        <w:tc>
          <w:tcPr>
            <w:tcW w:w="3119" w:type="dxa"/>
          </w:tcPr>
          <w:p w14:paraId="60F685F0" w14:textId="77777777" w:rsidR="002E0B0B" w:rsidRPr="000C6EB4" w:rsidRDefault="002E0B0B" w:rsidP="006C0237">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Restrictive conditions </w:t>
            </w:r>
          </w:p>
        </w:tc>
        <w:tc>
          <w:tcPr>
            <w:tcW w:w="6380" w:type="dxa"/>
          </w:tcPr>
          <w:p w14:paraId="6C7D2A0B" w14:textId="77777777" w:rsidR="005D77A5" w:rsidRPr="000C6EB4" w:rsidRDefault="002E0B0B" w:rsidP="002E0B0B">
            <w:pPr>
              <w:pStyle w:val="NormalWeb"/>
              <w:numPr>
                <w:ilvl w:val="0"/>
                <w:numId w:val="11"/>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A company cannot buy-back it shares / securities to de-list its shares from stock exchanges.</w:t>
            </w:r>
          </w:p>
          <w:p w14:paraId="18C2CA61" w14:textId="77777777" w:rsidR="003A7137" w:rsidRPr="000C6EB4" w:rsidRDefault="002E0B0B" w:rsidP="002E0B0B">
            <w:pPr>
              <w:pStyle w:val="NormalWeb"/>
              <w:numPr>
                <w:ilvl w:val="0"/>
                <w:numId w:val="11"/>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A company cannot buy-back its shares through negotiated deals, spot transactions or private arrangement(s)</w:t>
            </w:r>
          </w:p>
          <w:p w14:paraId="03DAB1C0" w14:textId="77777777" w:rsidR="002E0B0B" w:rsidRPr="000C6EB4" w:rsidRDefault="00A16114" w:rsidP="002E0B0B">
            <w:pPr>
              <w:pStyle w:val="NormalWeb"/>
              <w:numPr>
                <w:ilvl w:val="0"/>
                <w:numId w:val="11"/>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Insider(s) shall not deal with buy back based on price sensitive information. </w:t>
            </w:r>
            <w:r w:rsidR="002E0B0B" w:rsidRPr="000C6EB4">
              <w:rPr>
                <w:rStyle w:val="Emphasis"/>
                <w:i w:val="0"/>
                <w:color w:val="000000"/>
                <w:sz w:val="22"/>
                <w:szCs w:val="22"/>
                <w:shd w:val="clear" w:color="auto" w:fill="FFFFFF"/>
              </w:rPr>
              <w:t xml:space="preserve"> </w:t>
            </w:r>
          </w:p>
          <w:p w14:paraId="77E1C34D" w14:textId="77777777" w:rsidR="00A16114" w:rsidRPr="000C6EB4" w:rsidRDefault="00A16114" w:rsidP="00A16114">
            <w:pPr>
              <w:pStyle w:val="NormalWeb"/>
              <w:numPr>
                <w:ilvl w:val="0"/>
                <w:numId w:val="11"/>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No fresh Buy-back can be done until 1 year from date of previous Buy-back.</w:t>
            </w:r>
          </w:p>
          <w:p w14:paraId="2B0E55CA" w14:textId="77777777" w:rsidR="00B472B5" w:rsidRPr="000C6EB4" w:rsidRDefault="00C30570" w:rsidP="00A16114">
            <w:pPr>
              <w:pStyle w:val="NormalWeb"/>
              <w:numPr>
                <w:ilvl w:val="0"/>
                <w:numId w:val="11"/>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On completion of Buy-back, a company should not issue or allot any same kind of shares/securities except by way of a bonus issue. </w:t>
            </w:r>
          </w:p>
          <w:p w14:paraId="23CFC66F" w14:textId="77777777" w:rsidR="00A16114" w:rsidRDefault="00B472B5" w:rsidP="00E718CC">
            <w:pPr>
              <w:pStyle w:val="NormalWeb"/>
              <w:numPr>
                <w:ilvl w:val="0"/>
                <w:numId w:val="11"/>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In case of Buy-back through tender offer, 15% of the number of securities which is proposed to be bought back or number of securities entitled as per their shareholding whichever is higher, shall be reserved for small shareholders</w:t>
            </w:r>
          </w:p>
          <w:p w14:paraId="5FFDE0C0" w14:textId="0B284AF1" w:rsidR="00F328F9" w:rsidRPr="000C6EB4" w:rsidRDefault="00F328F9" w:rsidP="00F328F9">
            <w:pPr>
              <w:pStyle w:val="NormalWeb"/>
              <w:spacing w:before="0" w:beforeAutospacing="0" w:after="0" w:afterAutospacing="0"/>
              <w:rPr>
                <w:rStyle w:val="Emphasis"/>
                <w:i w:val="0"/>
                <w:color w:val="000000"/>
                <w:sz w:val="22"/>
                <w:szCs w:val="22"/>
                <w:shd w:val="clear" w:color="auto" w:fill="FFFFFF"/>
              </w:rPr>
            </w:pPr>
          </w:p>
        </w:tc>
      </w:tr>
    </w:tbl>
    <w:p w14:paraId="166E148D" w14:textId="77777777" w:rsidR="00B472B5" w:rsidRPr="000C6EB4" w:rsidRDefault="00B472B5">
      <w:r w:rsidRPr="000C6EB4">
        <w:br w:type="column"/>
      </w:r>
    </w:p>
    <w:tbl>
      <w:tblPr>
        <w:tblStyle w:val="TableGrid"/>
        <w:tblW w:w="0" w:type="auto"/>
        <w:tblInd w:w="76" w:type="dxa"/>
        <w:tblLook w:val="04A0" w:firstRow="1" w:lastRow="0" w:firstColumn="1" w:lastColumn="0" w:noHBand="0" w:noVBand="1"/>
      </w:tblPr>
      <w:tblGrid>
        <w:gridCol w:w="3151"/>
        <w:gridCol w:w="6380"/>
      </w:tblGrid>
      <w:tr w:rsidR="00F328F9" w:rsidRPr="000C6EB4" w14:paraId="1BA44112" w14:textId="77777777" w:rsidTr="00F328F9">
        <w:tc>
          <w:tcPr>
            <w:tcW w:w="3151" w:type="dxa"/>
          </w:tcPr>
          <w:p w14:paraId="18172F8E" w14:textId="77777777" w:rsidR="00B472B5" w:rsidRPr="000C6EB4" w:rsidRDefault="00B472B5" w:rsidP="00D84D0F">
            <w:pPr>
              <w:pStyle w:val="NormalWeb"/>
              <w:spacing w:before="0" w:beforeAutospacing="0" w:after="0" w:afterAutospacing="0"/>
              <w:ind w:left="0"/>
              <w:rPr>
                <w:rStyle w:val="Emphasis"/>
                <w:b/>
                <w:i w:val="0"/>
                <w:color w:val="000000"/>
                <w:sz w:val="22"/>
                <w:szCs w:val="22"/>
                <w:shd w:val="clear" w:color="auto" w:fill="FFFFFF"/>
              </w:rPr>
            </w:pPr>
            <w:r w:rsidRPr="000C6EB4">
              <w:rPr>
                <w:rStyle w:val="Emphasis"/>
                <w:b/>
                <w:i w:val="0"/>
                <w:color w:val="000000"/>
                <w:sz w:val="22"/>
                <w:szCs w:val="22"/>
                <w:shd w:val="clear" w:color="auto" w:fill="FFFFFF"/>
              </w:rPr>
              <w:t xml:space="preserve">Particulars </w:t>
            </w:r>
          </w:p>
        </w:tc>
        <w:tc>
          <w:tcPr>
            <w:tcW w:w="6380" w:type="dxa"/>
          </w:tcPr>
          <w:p w14:paraId="4C881541" w14:textId="77777777" w:rsidR="00B472B5" w:rsidRPr="000C6EB4" w:rsidRDefault="00B472B5" w:rsidP="00D84D0F">
            <w:pPr>
              <w:pStyle w:val="NormalWeb"/>
              <w:spacing w:before="0" w:beforeAutospacing="0" w:after="0" w:afterAutospacing="0"/>
              <w:ind w:left="0"/>
              <w:rPr>
                <w:rStyle w:val="Emphasis"/>
                <w:b/>
                <w:i w:val="0"/>
                <w:color w:val="000000"/>
                <w:sz w:val="22"/>
                <w:szCs w:val="22"/>
                <w:shd w:val="clear" w:color="auto" w:fill="FFFFFF"/>
              </w:rPr>
            </w:pPr>
            <w:r w:rsidRPr="000C6EB4">
              <w:rPr>
                <w:rStyle w:val="Emphasis"/>
                <w:b/>
                <w:i w:val="0"/>
                <w:color w:val="000000"/>
                <w:sz w:val="22"/>
                <w:szCs w:val="22"/>
                <w:shd w:val="clear" w:color="auto" w:fill="FFFFFF"/>
              </w:rPr>
              <w:t>Conditions / Requirements</w:t>
            </w:r>
          </w:p>
        </w:tc>
      </w:tr>
      <w:tr w:rsidR="00F328F9" w:rsidRPr="000C6EB4" w14:paraId="1B137F7A" w14:textId="77777777" w:rsidTr="00F328F9">
        <w:tc>
          <w:tcPr>
            <w:tcW w:w="3151" w:type="dxa"/>
          </w:tcPr>
          <w:p w14:paraId="07611CF2" w14:textId="77777777" w:rsidR="002E0B0B" w:rsidRPr="000C6EB4" w:rsidRDefault="000667BA" w:rsidP="00C30570">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When Buy-back is </w:t>
            </w:r>
            <w:r w:rsidR="00C30570" w:rsidRPr="000C6EB4">
              <w:rPr>
                <w:rStyle w:val="Emphasis"/>
                <w:i w:val="0"/>
                <w:color w:val="000000"/>
                <w:sz w:val="22"/>
                <w:szCs w:val="22"/>
                <w:shd w:val="clear" w:color="auto" w:fill="FFFFFF"/>
              </w:rPr>
              <w:t>prohibited</w:t>
            </w:r>
          </w:p>
        </w:tc>
        <w:tc>
          <w:tcPr>
            <w:tcW w:w="6380" w:type="dxa"/>
          </w:tcPr>
          <w:p w14:paraId="33A01561" w14:textId="77777777" w:rsidR="00C30570" w:rsidRPr="000C6EB4" w:rsidRDefault="000667BA" w:rsidP="000667BA">
            <w:pPr>
              <w:pStyle w:val="NormalWeb"/>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No company can Buy-back</w:t>
            </w:r>
            <w:r w:rsidR="00C30570" w:rsidRPr="000C6EB4">
              <w:rPr>
                <w:rStyle w:val="Emphasis"/>
                <w:i w:val="0"/>
                <w:color w:val="000000"/>
                <w:sz w:val="22"/>
                <w:szCs w:val="22"/>
                <w:shd w:val="clear" w:color="auto" w:fill="FFFFFF"/>
              </w:rPr>
              <w:t xml:space="preserve"> its own shares:</w:t>
            </w:r>
            <w:r w:rsidRPr="000C6EB4">
              <w:rPr>
                <w:rStyle w:val="Emphasis"/>
                <w:i w:val="0"/>
                <w:color w:val="000000"/>
                <w:sz w:val="22"/>
                <w:szCs w:val="22"/>
                <w:shd w:val="clear" w:color="auto" w:fill="FFFFFF"/>
              </w:rPr>
              <w:t xml:space="preserve"> </w:t>
            </w:r>
          </w:p>
          <w:p w14:paraId="1F60FD30" w14:textId="77777777" w:rsidR="000667BA" w:rsidRPr="000C6EB4" w:rsidRDefault="000667BA" w:rsidP="00C30570">
            <w:pPr>
              <w:pStyle w:val="NormalWeb"/>
              <w:numPr>
                <w:ilvl w:val="0"/>
                <w:numId w:val="12"/>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directly or indirectly through any subsidiary company including its own or through any investment company or group of companies</w:t>
            </w:r>
          </w:p>
          <w:p w14:paraId="66DDD0D5" w14:textId="77777777" w:rsidR="00C30570" w:rsidRPr="000C6EB4" w:rsidRDefault="00C30570" w:rsidP="00C30570">
            <w:pPr>
              <w:pStyle w:val="NormalWeb"/>
              <w:spacing w:before="0" w:beforeAutospacing="0" w:after="0" w:afterAutospacing="0"/>
              <w:rPr>
                <w:rStyle w:val="Emphasis"/>
                <w:i w:val="0"/>
                <w:color w:val="000000"/>
                <w:sz w:val="22"/>
                <w:szCs w:val="22"/>
                <w:shd w:val="clear" w:color="auto" w:fill="FFFFFF"/>
              </w:rPr>
            </w:pPr>
          </w:p>
          <w:p w14:paraId="66A176A2" w14:textId="77777777" w:rsidR="000667BA" w:rsidRPr="000C6EB4" w:rsidRDefault="000667BA" w:rsidP="000667BA">
            <w:pPr>
              <w:pStyle w:val="NormalWeb"/>
              <w:numPr>
                <w:ilvl w:val="0"/>
                <w:numId w:val="12"/>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if there is default in repayment of deposits including interest accepted before or after commencement of the Act</w:t>
            </w:r>
          </w:p>
          <w:p w14:paraId="5B511D56" w14:textId="77777777" w:rsidR="00C30570" w:rsidRPr="000C6EB4" w:rsidRDefault="00C30570" w:rsidP="00C30570">
            <w:pPr>
              <w:pStyle w:val="ListParagraph"/>
              <w:rPr>
                <w:rStyle w:val="Emphasis"/>
                <w:i w:val="0"/>
                <w:color w:val="000000"/>
                <w:sz w:val="22"/>
                <w:szCs w:val="22"/>
                <w:shd w:val="clear" w:color="auto" w:fill="FFFFFF"/>
              </w:rPr>
            </w:pPr>
          </w:p>
          <w:p w14:paraId="51DF4914" w14:textId="77777777" w:rsidR="00C30570" w:rsidRPr="000C6EB4" w:rsidRDefault="00C30570" w:rsidP="000667BA">
            <w:pPr>
              <w:pStyle w:val="NormalWeb"/>
              <w:numPr>
                <w:ilvl w:val="0"/>
                <w:numId w:val="12"/>
              </w:numPr>
              <w:spacing w:before="0" w:beforeAutospacing="0" w:after="0" w:afterAutospacing="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Default in redemption of preference shares or payment of dividend or repayment of loan + interest to any bank or financial institution   </w:t>
            </w:r>
          </w:p>
          <w:p w14:paraId="7E036020" w14:textId="77777777" w:rsidR="00C30570" w:rsidRPr="000C6EB4" w:rsidRDefault="00C30570" w:rsidP="00C30570">
            <w:pPr>
              <w:pStyle w:val="ListParagraph"/>
              <w:rPr>
                <w:rStyle w:val="Emphasis"/>
                <w:i w:val="0"/>
                <w:color w:val="000000"/>
                <w:sz w:val="22"/>
                <w:szCs w:val="22"/>
                <w:shd w:val="clear" w:color="auto" w:fill="FFFFFF"/>
              </w:rPr>
            </w:pPr>
          </w:p>
          <w:p w14:paraId="628B9FFD" w14:textId="77777777" w:rsidR="002E0B0B" w:rsidRPr="000C6EB4" w:rsidRDefault="00C30570" w:rsidP="00DD6F13">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Provided the Buy-back is permitted if the default is set right and a period of 3 years has passed after the default.</w:t>
            </w:r>
            <w:r w:rsidR="00DD6F13" w:rsidRPr="000C6EB4">
              <w:rPr>
                <w:rStyle w:val="Emphasis"/>
                <w:i w:val="0"/>
                <w:color w:val="000000"/>
                <w:sz w:val="22"/>
                <w:szCs w:val="22"/>
                <w:shd w:val="clear" w:color="auto" w:fill="FFFFFF"/>
              </w:rPr>
              <w:t xml:space="preserve"> </w:t>
            </w:r>
          </w:p>
          <w:p w14:paraId="21858A33" w14:textId="77777777" w:rsidR="00DD6F13" w:rsidRPr="000C6EB4" w:rsidRDefault="00DD6F13" w:rsidP="00DD6F13">
            <w:pPr>
              <w:pStyle w:val="NormalWeb"/>
              <w:spacing w:before="0" w:beforeAutospacing="0" w:after="0" w:afterAutospacing="0"/>
              <w:ind w:left="0"/>
              <w:rPr>
                <w:rStyle w:val="Emphasis"/>
                <w:i w:val="0"/>
                <w:color w:val="000000"/>
                <w:sz w:val="22"/>
                <w:szCs w:val="22"/>
                <w:shd w:val="clear" w:color="auto" w:fill="FFFFFF"/>
              </w:rPr>
            </w:pPr>
          </w:p>
        </w:tc>
      </w:tr>
      <w:tr w:rsidR="00F328F9" w:rsidRPr="000C6EB4" w14:paraId="4DCEBA86" w14:textId="77777777" w:rsidTr="00F328F9">
        <w:tc>
          <w:tcPr>
            <w:tcW w:w="3151" w:type="dxa"/>
          </w:tcPr>
          <w:p w14:paraId="560E2098" w14:textId="77777777" w:rsidR="00C57176" w:rsidRPr="000C6EB4" w:rsidRDefault="00C57176" w:rsidP="00C30570">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Letter of Offer </w:t>
            </w:r>
          </w:p>
        </w:tc>
        <w:tc>
          <w:tcPr>
            <w:tcW w:w="6380" w:type="dxa"/>
          </w:tcPr>
          <w:p w14:paraId="770546AD" w14:textId="77777777" w:rsidR="00C57176" w:rsidRPr="000C6EB4" w:rsidRDefault="00C57176" w:rsidP="00C57176">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L.O.O not required to be filed with the SEBI Board</w:t>
            </w:r>
            <w:r w:rsidR="00C92280" w:rsidRPr="000C6EB4">
              <w:rPr>
                <w:rStyle w:val="Emphasis"/>
                <w:i w:val="0"/>
                <w:color w:val="000000"/>
                <w:sz w:val="22"/>
                <w:szCs w:val="22"/>
                <w:shd w:val="clear" w:color="auto" w:fill="FFFFFF"/>
              </w:rPr>
              <w:t xml:space="preserve"> in</w:t>
            </w:r>
            <w:r w:rsidRPr="000C6EB4">
              <w:rPr>
                <w:rStyle w:val="Emphasis"/>
                <w:i w:val="0"/>
                <w:color w:val="000000"/>
                <w:sz w:val="22"/>
                <w:szCs w:val="22"/>
                <w:shd w:val="clear" w:color="auto" w:fill="FFFFFF"/>
              </w:rPr>
              <w:t xml:space="preserve"> case of buy-back from Open market</w:t>
            </w:r>
            <w:r w:rsidR="00C92280" w:rsidRPr="000C6EB4">
              <w:rPr>
                <w:rStyle w:val="Emphasis"/>
                <w:i w:val="0"/>
                <w:color w:val="000000"/>
                <w:sz w:val="22"/>
                <w:szCs w:val="22"/>
                <w:shd w:val="clear" w:color="auto" w:fill="FFFFFF"/>
              </w:rPr>
              <w:t xml:space="preserve">. In other cases, it is required to be filed with the SEBI Board. </w:t>
            </w:r>
            <w:r w:rsidRPr="000C6EB4">
              <w:rPr>
                <w:rStyle w:val="Emphasis"/>
                <w:i w:val="0"/>
                <w:color w:val="000000"/>
                <w:sz w:val="22"/>
                <w:szCs w:val="22"/>
                <w:shd w:val="clear" w:color="auto" w:fill="FFFFFF"/>
              </w:rPr>
              <w:t xml:space="preserve"> </w:t>
            </w:r>
          </w:p>
          <w:p w14:paraId="2075446D" w14:textId="77777777" w:rsidR="00C57176" w:rsidRPr="000C6EB4" w:rsidRDefault="00C57176" w:rsidP="00C57176">
            <w:pPr>
              <w:pStyle w:val="NormalWeb"/>
              <w:spacing w:before="0" w:beforeAutospacing="0" w:after="0" w:afterAutospacing="0"/>
              <w:ind w:left="0"/>
              <w:rPr>
                <w:rStyle w:val="Emphasis"/>
                <w:i w:val="0"/>
                <w:color w:val="000000"/>
                <w:sz w:val="22"/>
                <w:szCs w:val="22"/>
                <w:shd w:val="clear" w:color="auto" w:fill="FFFFFF"/>
              </w:rPr>
            </w:pPr>
          </w:p>
        </w:tc>
      </w:tr>
      <w:tr w:rsidR="00F328F9" w:rsidRPr="000C6EB4" w14:paraId="29741E14" w14:textId="77777777" w:rsidTr="00F328F9">
        <w:tc>
          <w:tcPr>
            <w:tcW w:w="3151" w:type="dxa"/>
          </w:tcPr>
          <w:p w14:paraId="0ED697F9" w14:textId="77777777" w:rsidR="00963434" w:rsidRPr="000C6EB4" w:rsidRDefault="00963434" w:rsidP="00C30570">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Timelines </w:t>
            </w:r>
          </w:p>
        </w:tc>
        <w:tc>
          <w:tcPr>
            <w:tcW w:w="6380" w:type="dxa"/>
          </w:tcPr>
          <w:p w14:paraId="118A6A0E" w14:textId="77777777" w:rsidR="00963434" w:rsidRDefault="00963434" w:rsidP="00963434">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As stipulated under the Buy-back Regulations from time to time </w:t>
            </w:r>
          </w:p>
          <w:p w14:paraId="5990F782" w14:textId="77777777" w:rsidR="00F328F9" w:rsidRPr="000C6EB4" w:rsidRDefault="00F328F9" w:rsidP="00963434">
            <w:pPr>
              <w:pStyle w:val="NormalWeb"/>
              <w:spacing w:before="0" w:beforeAutospacing="0" w:after="0" w:afterAutospacing="0"/>
              <w:ind w:left="0"/>
              <w:rPr>
                <w:rStyle w:val="Emphasis"/>
                <w:i w:val="0"/>
                <w:color w:val="000000"/>
                <w:sz w:val="22"/>
                <w:szCs w:val="22"/>
                <w:shd w:val="clear" w:color="auto" w:fill="FFFFFF"/>
              </w:rPr>
            </w:pPr>
          </w:p>
        </w:tc>
      </w:tr>
      <w:tr w:rsidR="00F328F9" w:rsidRPr="000C6EB4" w14:paraId="44C069D9" w14:textId="77777777" w:rsidTr="00F328F9">
        <w:tc>
          <w:tcPr>
            <w:tcW w:w="3151" w:type="dxa"/>
          </w:tcPr>
          <w:p w14:paraId="66B2B5A9" w14:textId="77777777" w:rsidR="00963434" w:rsidRPr="000C6EB4" w:rsidRDefault="00963434" w:rsidP="00C30570">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Extinguishment of Certificates </w:t>
            </w:r>
          </w:p>
        </w:tc>
        <w:tc>
          <w:tcPr>
            <w:tcW w:w="6380" w:type="dxa"/>
          </w:tcPr>
          <w:p w14:paraId="06135742" w14:textId="77777777" w:rsidR="00963434" w:rsidRDefault="00C57176" w:rsidP="00963434">
            <w:pPr>
              <w:pStyle w:val="NormalWeb"/>
              <w:spacing w:before="0" w:beforeAutospacing="0" w:after="0" w:afterAutospacing="0"/>
              <w:ind w:left="0"/>
              <w:rPr>
                <w:rStyle w:val="Emphasis"/>
                <w:i w:val="0"/>
                <w:color w:val="000000"/>
                <w:sz w:val="22"/>
                <w:szCs w:val="22"/>
                <w:shd w:val="clear" w:color="auto" w:fill="FFFFFF"/>
              </w:rPr>
            </w:pPr>
            <w:r w:rsidRPr="000C6EB4">
              <w:rPr>
                <w:rStyle w:val="Emphasis"/>
                <w:i w:val="0"/>
                <w:color w:val="000000"/>
                <w:sz w:val="22"/>
                <w:szCs w:val="22"/>
                <w:shd w:val="clear" w:color="auto" w:fill="FFFFFF"/>
              </w:rPr>
              <w:t xml:space="preserve">Share certificates are to be physically destroyed consequent to the Buy-back   </w:t>
            </w:r>
          </w:p>
          <w:p w14:paraId="70F010C6" w14:textId="77777777" w:rsidR="00F328F9" w:rsidRPr="000C6EB4" w:rsidRDefault="00F328F9" w:rsidP="00963434">
            <w:pPr>
              <w:pStyle w:val="NormalWeb"/>
              <w:spacing w:before="0" w:beforeAutospacing="0" w:after="0" w:afterAutospacing="0"/>
              <w:ind w:left="0"/>
              <w:rPr>
                <w:rStyle w:val="Emphasis"/>
                <w:i w:val="0"/>
                <w:color w:val="000000"/>
                <w:sz w:val="22"/>
                <w:szCs w:val="22"/>
                <w:shd w:val="clear" w:color="auto" w:fill="FFFFFF"/>
              </w:rPr>
            </w:pPr>
          </w:p>
        </w:tc>
      </w:tr>
    </w:tbl>
    <w:p w14:paraId="6C2C2C0F" w14:textId="3E37579B" w:rsidR="00A352DD" w:rsidRDefault="00A352DD" w:rsidP="00F328F9">
      <w:pPr>
        <w:pStyle w:val="NormalWeb"/>
        <w:shd w:val="clear" w:color="auto" w:fill="FFFFFF"/>
        <w:spacing w:after="0" w:afterAutospacing="0"/>
        <w:ind w:left="0"/>
        <w:rPr>
          <w:color w:val="000000"/>
          <w:sz w:val="22"/>
          <w:szCs w:val="22"/>
        </w:rPr>
      </w:pPr>
    </w:p>
    <w:sectPr w:rsidR="00A352DD" w:rsidSect="00D871CA">
      <w:headerReference w:type="default" r:id="rId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41426" w14:textId="77777777" w:rsidR="002249C1" w:rsidRDefault="002249C1" w:rsidP="00D71D16">
      <w:r>
        <w:separator/>
      </w:r>
    </w:p>
  </w:endnote>
  <w:endnote w:type="continuationSeparator" w:id="0">
    <w:p w14:paraId="523CE2E1" w14:textId="77777777" w:rsidR="002249C1" w:rsidRDefault="002249C1" w:rsidP="00D7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42A1E" w14:textId="77777777" w:rsidR="002249C1" w:rsidRDefault="002249C1" w:rsidP="00D71D16">
      <w:r>
        <w:separator/>
      </w:r>
    </w:p>
  </w:footnote>
  <w:footnote w:type="continuationSeparator" w:id="0">
    <w:p w14:paraId="2CD8E26F" w14:textId="77777777" w:rsidR="002249C1" w:rsidRDefault="002249C1" w:rsidP="00D71D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EF3BE" w14:textId="77777777" w:rsidR="00076000" w:rsidRPr="00076000" w:rsidRDefault="00076000" w:rsidP="00AE1B65">
    <w:pPr>
      <w:rPr>
        <w:rFonts w:ascii="Book Antiqua" w:hAnsi="Book Antiqua" w:cs="Tahoma"/>
        <w:b/>
      </w:rPr>
    </w:pPr>
    <w:r w:rsidRPr="00076000">
      <w:rPr>
        <w:rFonts w:ascii="Book Antiqua" w:hAnsi="Book Antiqua"/>
        <w:b/>
      </w:rPr>
      <w:tab/>
    </w:r>
    <w:r w:rsidRPr="00076000">
      <w:rPr>
        <w:rFonts w:ascii="Book Antiqua" w:hAnsi="Book Antiqua"/>
        <w:b/>
      </w:rPr>
      <w:tab/>
    </w:r>
    <w:r w:rsidRPr="00076000">
      <w:rPr>
        <w:rFonts w:ascii="Book Antiqua" w:hAnsi="Book Antiqua"/>
        <w:b/>
      </w:rPr>
      <w:tab/>
    </w:r>
    <w:r w:rsidRPr="00076000">
      <w:rPr>
        <w:rFonts w:ascii="Book Antiqua" w:hAnsi="Book Antiqua"/>
        <w:b/>
      </w:rPr>
      <w:tab/>
    </w:r>
    <w:r w:rsidRPr="00076000">
      <w:rPr>
        <w:rFonts w:ascii="Book Antiqua" w:hAnsi="Book Antiqua"/>
        <w:b/>
      </w:rPr>
      <w:tab/>
    </w:r>
    <w:r w:rsidRPr="00076000">
      <w:rPr>
        <w:rFonts w:ascii="Book Antiqua" w:hAnsi="Book Antiqua"/>
        <w:b/>
      </w:rPr>
      <w:tab/>
    </w:r>
    <w:r w:rsidRPr="00076000">
      <w:rPr>
        <w:rFonts w:ascii="Book Antiqua" w:hAnsi="Book Antiqua"/>
        <w:b/>
      </w:rPr>
      <w:tab/>
    </w:r>
  </w:p>
  <w:p w14:paraId="3959C360" w14:textId="77777777" w:rsidR="00076000" w:rsidRPr="00076000" w:rsidRDefault="00076000" w:rsidP="00076000">
    <w:pPr>
      <w:rPr>
        <w:rFonts w:ascii="Book Antiqua" w:hAnsi="Book Antiqua"/>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7C1C"/>
    <w:multiLevelType w:val="hybridMultilevel"/>
    <w:tmpl w:val="8E4434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016673"/>
    <w:multiLevelType w:val="hybridMultilevel"/>
    <w:tmpl w:val="CEECCE52"/>
    <w:lvl w:ilvl="0" w:tplc="1C38086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0466036"/>
    <w:multiLevelType w:val="hybridMultilevel"/>
    <w:tmpl w:val="067ABE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EB25AD"/>
    <w:multiLevelType w:val="hybridMultilevel"/>
    <w:tmpl w:val="0B5AE662"/>
    <w:lvl w:ilvl="0" w:tplc="ED5C74B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10CA1"/>
    <w:multiLevelType w:val="multilevel"/>
    <w:tmpl w:val="68A6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B33AA"/>
    <w:multiLevelType w:val="hybridMultilevel"/>
    <w:tmpl w:val="F7A0512C"/>
    <w:lvl w:ilvl="0" w:tplc="F6466D20">
      <w:start w:val="1"/>
      <w:numFmt w:val="decimal"/>
      <w:lvlText w:val="%1."/>
      <w:lvlJc w:val="left"/>
      <w:pPr>
        <w:ind w:left="720" w:hanging="360"/>
      </w:pPr>
      <w:rPr>
        <w:rFonts w:eastAsiaTheme="minorHAnsi"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AE83ACC"/>
    <w:multiLevelType w:val="hybridMultilevel"/>
    <w:tmpl w:val="10C01A9C"/>
    <w:lvl w:ilvl="0" w:tplc="A12CA6C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513500"/>
    <w:multiLevelType w:val="hybridMultilevel"/>
    <w:tmpl w:val="4D24C1FA"/>
    <w:lvl w:ilvl="0" w:tplc="4D02D2E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3D10B50"/>
    <w:multiLevelType w:val="hybridMultilevel"/>
    <w:tmpl w:val="B59EDC9A"/>
    <w:lvl w:ilvl="0" w:tplc="B0FC6A8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47C3249"/>
    <w:multiLevelType w:val="hybridMultilevel"/>
    <w:tmpl w:val="BFA6D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D7B6030"/>
    <w:multiLevelType w:val="hybridMultilevel"/>
    <w:tmpl w:val="2296358E"/>
    <w:lvl w:ilvl="0" w:tplc="529C89C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4AC3589"/>
    <w:multiLevelType w:val="hybridMultilevel"/>
    <w:tmpl w:val="38F6832C"/>
    <w:lvl w:ilvl="0" w:tplc="46046B6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3BE6CD9"/>
    <w:multiLevelType w:val="hybridMultilevel"/>
    <w:tmpl w:val="35126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014BD6"/>
    <w:multiLevelType w:val="hybridMultilevel"/>
    <w:tmpl w:val="2FCAD5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9DD4B6F"/>
    <w:multiLevelType w:val="hybridMultilevel"/>
    <w:tmpl w:val="AA340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F54549F"/>
    <w:multiLevelType w:val="hybridMultilevel"/>
    <w:tmpl w:val="68C0E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2"/>
  </w:num>
  <w:num w:numId="7">
    <w:abstractNumId w:val="13"/>
  </w:num>
  <w:num w:numId="8">
    <w:abstractNumId w:val="7"/>
  </w:num>
  <w:num w:numId="9">
    <w:abstractNumId w:val="1"/>
  </w:num>
  <w:num w:numId="10">
    <w:abstractNumId w:val="11"/>
  </w:num>
  <w:num w:numId="11">
    <w:abstractNumId w:val="15"/>
  </w:num>
  <w:num w:numId="12">
    <w:abstractNumId w:val="0"/>
  </w:num>
  <w:num w:numId="13">
    <w:abstractNumId w:val="14"/>
  </w:num>
  <w:num w:numId="14">
    <w:abstractNumId w:val="10"/>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C0"/>
    <w:rsid w:val="00020383"/>
    <w:rsid w:val="00021F13"/>
    <w:rsid w:val="00024F99"/>
    <w:rsid w:val="00062595"/>
    <w:rsid w:val="000667BA"/>
    <w:rsid w:val="00076000"/>
    <w:rsid w:val="000C6EB4"/>
    <w:rsid w:val="000E2B8B"/>
    <w:rsid w:val="00152FF4"/>
    <w:rsid w:val="00167BAE"/>
    <w:rsid w:val="00170B46"/>
    <w:rsid w:val="00180257"/>
    <w:rsid w:val="001812A9"/>
    <w:rsid w:val="0019539C"/>
    <w:rsid w:val="001A70E8"/>
    <w:rsid w:val="001A7932"/>
    <w:rsid w:val="001E328B"/>
    <w:rsid w:val="002249C1"/>
    <w:rsid w:val="00232332"/>
    <w:rsid w:val="002557EB"/>
    <w:rsid w:val="00292414"/>
    <w:rsid w:val="002A57DE"/>
    <w:rsid w:val="002C1E3C"/>
    <w:rsid w:val="002D00E4"/>
    <w:rsid w:val="002E0B0B"/>
    <w:rsid w:val="002F1EC0"/>
    <w:rsid w:val="002F536F"/>
    <w:rsid w:val="00310B3E"/>
    <w:rsid w:val="003115FA"/>
    <w:rsid w:val="00341429"/>
    <w:rsid w:val="003760E1"/>
    <w:rsid w:val="003A7137"/>
    <w:rsid w:val="003B42C6"/>
    <w:rsid w:val="003B4BAB"/>
    <w:rsid w:val="003B7458"/>
    <w:rsid w:val="003C0B80"/>
    <w:rsid w:val="003D0144"/>
    <w:rsid w:val="00411298"/>
    <w:rsid w:val="00414557"/>
    <w:rsid w:val="00423949"/>
    <w:rsid w:val="004242F4"/>
    <w:rsid w:val="0043671D"/>
    <w:rsid w:val="0047360C"/>
    <w:rsid w:val="004C7486"/>
    <w:rsid w:val="004D2ED8"/>
    <w:rsid w:val="004E1B6A"/>
    <w:rsid w:val="004E401F"/>
    <w:rsid w:val="005041C0"/>
    <w:rsid w:val="00521B4F"/>
    <w:rsid w:val="005355EB"/>
    <w:rsid w:val="00542709"/>
    <w:rsid w:val="00555DCC"/>
    <w:rsid w:val="005560D9"/>
    <w:rsid w:val="00573413"/>
    <w:rsid w:val="0057761D"/>
    <w:rsid w:val="00582223"/>
    <w:rsid w:val="00583B9D"/>
    <w:rsid w:val="00591BC8"/>
    <w:rsid w:val="00593E79"/>
    <w:rsid w:val="005A7B06"/>
    <w:rsid w:val="005D3752"/>
    <w:rsid w:val="005D77A5"/>
    <w:rsid w:val="005E3F8A"/>
    <w:rsid w:val="00623803"/>
    <w:rsid w:val="00636296"/>
    <w:rsid w:val="00653796"/>
    <w:rsid w:val="00656FF6"/>
    <w:rsid w:val="006614D7"/>
    <w:rsid w:val="006734F4"/>
    <w:rsid w:val="00683BF4"/>
    <w:rsid w:val="006A2AD8"/>
    <w:rsid w:val="006B268B"/>
    <w:rsid w:val="006C0237"/>
    <w:rsid w:val="006F5ABD"/>
    <w:rsid w:val="00700AAD"/>
    <w:rsid w:val="0071285A"/>
    <w:rsid w:val="007253D5"/>
    <w:rsid w:val="00732C40"/>
    <w:rsid w:val="0074285A"/>
    <w:rsid w:val="00750931"/>
    <w:rsid w:val="00757931"/>
    <w:rsid w:val="00791505"/>
    <w:rsid w:val="007A16F5"/>
    <w:rsid w:val="007E4E78"/>
    <w:rsid w:val="00824DA0"/>
    <w:rsid w:val="00842A46"/>
    <w:rsid w:val="00842F83"/>
    <w:rsid w:val="00854E6F"/>
    <w:rsid w:val="008672D4"/>
    <w:rsid w:val="00880A3F"/>
    <w:rsid w:val="008E2CDC"/>
    <w:rsid w:val="008F2333"/>
    <w:rsid w:val="00922FB9"/>
    <w:rsid w:val="00923D19"/>
    <w:rsid w:val="00952049"/>
    <w:rsid w:val="00963434"/>
    <w:rsid w:val="0096439E"/>
    <w:rsid w:val="009A102F"/>
    <w:rsid w:val="009B063A"/>
    <w:rsid w:val="009B6A77"/>
    <w:rsid w:val="009D01E6"/>
    <w:rsid w:val="009D3B9B"/>
    <w:rsid w:val="009E7242"/>
    <w:rsid w:val="009F0A41"/>
    <w:rsid w:val="009F4A51"/>
    <w:rsid w:val="00A16114"/>
    <w:rsid w:val="00A352DD"/>
    <w:rsid w:val="00A43CA3"/>
    <w:rsid w:val="00A56416"/>
    <w:rsid w:val="00A82FA7"/>
    <w:rsid w:val="00A87AB2"/>
    <w:rsid w:val="00A92563"/>
    <w:rsid w:val="00AD081D"/>
    <w:rsid w:val="00AE1B65"/>
    <w:rsid w:val="00AF039D"/>
    <w:rsid w:val="00AF1733"/>
    <w:rsid w:val="00B1339B"/>
    <w:rsid w:val="00B2684F"/>
    <w:rsid w:val="00B472B5"/>
    <w:rsid w:val="00B50F94"/>
    <w:rsid w:val="00B754D7"/>
    <w:rsid w:val="00B86AD9"/>
    <w:rsid w:val="00BA1E00"/>
    <w:rsid w:val="00C049F5"/>
    <w:rsid w:val="00C04E95"/>
    <w:rsid w:val="00C22163"/>
    <w:rsid w:val="00C30570"/>
    <w:rsid w:val="00C45123"/>
    <w:rsid w:val="00C540BC"/>
    <w:rsid w:val="00C57176"/>
    <w:rsid w:val="00C92280"/>
    <w:rsid w:val="00C96DF7"/>
    <w:rsid w:val="00CB2C5C"/>
    <w:rsid w:val="00CC3F54"/>
    <w:rsid w:val="00CE228E"/>
    <w:rsid w:val="00CE2387"/>
    <w:rsid w:val="00D03218"/>
    <w:rsid w:val="00D27C43"/>
    <w:rsid w:val="00D4299E"/>
    <w:rsid w:val="00D71D16"/>
    <w:rsid w:val="00D871CA"/>
    <w:rsid w:val="00D93407"/>
    <w:rsid w:val="00DC4174"/>
    <w:rsid w:val="00DD6F13"/>
    <w:rsid w:val="00E001F5"/>
    <w:rsid w:val="00E4395F"/>
    <w:rsid w:val="00E56A5E"/>
    <w:rsid w:val="00E61CBA"/>
    <w:rsid w:val="00E70C45"/>
    <w:rsid w:val="00E718CC"/>
    <w:rsid w:val="00E764EE"/>
    <w:rsid w:val="00E84C9A"/>
    <w:rsid w:val="00E95A18"/>
    <w:rsid w:val="00EA080C"/>
    <w:rsid w:val="00F01D60"/>
    <w:rsid w:val="00F06116"/>
    <w:rsid w:val="00F328F9"/>
    <w:rsid w:val="00F41CF8"/>
    <w:rsid w:val="00F4630F"/>
    <w:rsid w:val="00F613E9"/>
    <w:rsid w:val="00F67FAA"/>
    <w:rsid w:val="00F81B0F"/>
    <w:rsid w:val="00F85F51"/>
    <w:rsid w:val="00F971A7"/>
    <w:rsid w:val="00FA72AC"/>
    <w:rsid w:val="00FC401D"/>
    <w:rsid w:val="00FC6BCA"/>
    <w:rsid w:val="00FD195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39C0"/>
  <w15:docId w15:val="{AA770C53-7DE3-406D-94C6-0DD123D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ind w:left="72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401F"/>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C6BCA"/>
    <w:pPr>
      <w:spacing w:before="100" w:beforeAutospacing="1" w:after="100" w:afterAutospacing="1"/>
      <w:outlineLvl w:val="0"/>
    </w:pPr>
    <w:rPr>
      <w:b/>
      <w:bCs/>
      <w:kern w:val="36"/>
      <w:sz w:val="48"/>
      <w:szCs w:val="48"/>
      <w:lang w:eastAsia="en-IN"/>
    </w:rPr>
  </w:style>
  <w:style w:type="paragraph" w:styleId="Heading2">
    <w:name w:val="heading 2"/>
    <w:basedOn w:val="Normal"/>
    <w:next w:val="Normal"/>
    <w:link w:val="Heading2Char"/>
    <w:uiPriority w:val="9"/>
    <w:semiHidden/>
    <w:unhideWhenUsed/>
    <w:qFormat/>
    <w:rsid w:val="00CE22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9E7242"/>
  </w:style>
  <w:style w:type="character" w:customStyle="1" w:styleId="Heading1Char">
    <w:name w:val="Heading 1 Char"/>
    <w:basedOn w:val="DefaultParagraphFont"/>
    <w:link w:val="Heading1"/>
    <w:uiPriority w:val="9"/>
    <w:rsid w:val="00FC6BCA"/>
    <w:rPr>
      <w:rFonts w:ascii="Times New Roman" w:eastAsia="Times New Roman" w:hAnsi="Times New Roman" w:cs="Times New Roman"/>
      <w:b/>
      <w:bCs/>
      <w:kern w:val="36"/>
      <w:sz w:val="48"/>
      <w:szCs w:val="48"/>
      <w:lang w:eastAsia="en-IN"/>
    </w:rPr>
  </w:style>
  <w:style w:type="character" w:customStyle="1" w:styleId="a-size-large">
    <w:name w:val="a-size-large"/>
    <w:basedOn w:val="DefaultParagraphFont"/>
    <w:rsid w:val="00FC6BCA"/>
  </w:style>
  <w:style w:type="character" w:customStyle="1" w:styleId="Heading2Char">
    <w:name w:val="Heading 2 Char"/>
    <w:basedOn w:val="DefaultParagraphFont"/>
    <w:link w:val="Heading2"/>
    <w:uiPriority w:val="9"/>
    <w:semiHidden/>
    <w:rsid w:val="00CE228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CE228E"/>
    <w:pPr>
      <w:spacing w:before="100" w:beforeAutospacing="1" w:after="100" w:afterAutospacing="1"/>
    </w:pPr>
    <w:rPr>
      <w:lang w:eastAsia="en-IN"/>
    </w:rPr>
  </w:style>
  <w:style w:type="character" w:styleId="Hyperlink">
    <w:name w:val="Hyperlink"/>
    <w:basedOn w:val="DefaultParagraphFont"/>
    <w:uiPriority w:val="99"/>
    <w:unhideWhenUsed/>
    <w:rsid w:val="00CE228E"/>
    <w:rPr>
      <w:color w:val="0000FF"/>
      <w:u w:val="single"/>
    </w:rPr>
  </w:style>
  <w:style w:type="character" w:customStyle="1" w:styleId="toctoggle">
    <w:name w:val="toctoggle"/>
    <w:basedOn w:val="DefaultParagraphFont"/>
    <w:rsid w:val="00CE228E"/>
  </w:style>
  <w:style w:type="character" w:customStyle="1" w:styleId="tocnumber">
    <w:name w:val="tocnumber"/>
    <w:basedOn w:val="DefaultParagraphFont"/>
    <w:rsid w:val="00CE228E"/>
  </w:style>
  <w:style w:type="character" w:customStyle="1" w:styleId="toctext">
    <w:name w:val="toctext"/>
    <w:basedOn w:val="DefaultParagraphFont"/>
    <w:rsid w:val="00CE228E"/>
  </w:style>
  <w:style w:type="character" w:customStyle="1" w:styleId="mw-headline">
    <w:name w:val="mw-headline"/>
    <w:basedOn w:val="DefaultParagraphFont"/>
    <w:rsid w:val="00CE228E"/>
  </w:style>
  <w:style w:type="character" w:customStyle="1" w:styleId="mw-editsection">
    <w:name w:val="mw-editsection"/>
    <w:basedOn w:val="DefaultParagraphFont"/>
    <w:rsid w:val="00CE228E"/>
  </w:style>
  <w:style w:type="character" w:customStyle="1" w:styleId="mw-editsection-bracket">
    <w:name w:val="mw-editsection-bracket"/>
    <w:basedOn w:val="DefaultParagraphFont"/>
    <w:rsid w:val="00CE228E"/>
  </w:style>
  <w:style w:type="table" w:styleId="TableGrid">
    <w:name w:val="Table Grid"/>
    <w:basedOn w:val="TableNormal"/>
    <w:uiPriority w:val="39"/>
    <w:rsid w:val="00170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971A7"/>
    <w:rPr>
      <w:b/>
      <w:bCs/>
    </w:rPr>
  </w:style>
  <w:style w:type="character" w:customStyle="1" w:styleId="tl8wme">
    <w:name w:val="tl8wme"/>
    <w:basedOn w:val="DefaultParagraphFont"/>
    <w:rsid w:val="00F613E9"/>
  </w:style>
  <w:style w:type="paragraph" w:styleId="Header">
    <w:name w:val="header"/>
    <w:basedOn w:val="Normal"/>
    <w:link w:val="HeaderChar"/>
    <w:uiPriority w:val="99"/>
    <w:unhideWhenUsed/>
    <w:rsid w:val="00D71D16"/>
    <w:pPr>
      <w:tabs>
        <w:tab w:val="center" w:pos="4513"/>
        <w:tab w:val="right" w:pos="9026"/>
      </w:tabs>
    </w:pPr>
  </w:style>
  <w:style w:type="character" w:customStyle="1" w:styleId="HeaderChar">
    <w:name w:val="Header Char"/>
    <w:basedOn w:val="DefaultParagraphFont"/>
    <w:link w:val="Header"/>
    <w:uiPriority w:val="99"/>
    <w:rsid w:val="00D71D16"/>
  </w:style>
  <w:style w:type="paragraph" w:styleId="Footer">
    <w:name w:val="footer"/>
    <w:basedOn w:val="Normal"/>
    <w:link w:val="FooterChar"/>
    <w:uiPriority w:val="99"/>
    <w:unhideWhenUsed/>
    <w:rsid w:val="00D71D16"/>
    <w:pPr>
      <w:tabs>
        <w:tab w:val="center" w:pos="4513"/>
        <w:tab w:val="right" w:pos="9026"/>
      </w:tabs>
    </w:pPr>
  </w:style>
  <w:style w:type="character" w:customStyle="1" w:styleId="FooterChar">
    <w:name w:val="Footer Char"/>
    <w:basedOn w:val="DefaultParagraphFont"/>
    <w:link w:val="Footer"/>
    <w:uiPriority w:val="99"/>
    <w:rsid w:val="00D71D16"/>
  </w:style>
  <w:style w:type="paragraph" w:styleId="BodyText">
    <w:name w:val="Body Text"/>
    <w:basedOn w:val="Normal"/>
    <w:link w:val="BodyTextChar"/>
    <w:uiPriority w:val="99"/>
    <w:rsid w:val="004E401F"/>
    <w:rPr>
      <w:rFonts w:ascii="Arial" w:hAnsi="Arial" w:cs="Arial"/>
      <w:szCs w:val="20"/>
    </w:rPr>
  </w:style>
  <w:style w:type="character" w:customStyle="1" w:styleId="BodyTextChar">
    <w:name w:val="Body Text Char"/>
    <w:basedOn w:val="DefaultParagraphFont"/>
    <w:link w:val="BodyText"/>
    <w:uiPriority w:val="99"/>
    <w:rsid w:val="004E401F"/>
    <w:rPr>
      <w:rFonts w:ascii="Arial" w:eastAsia="Times New Roman" w:hAnsi="Arial" w:cs="Arial"/>
      <w:sz w:val="24"/>
      <w:szCs w:val="20"/>
      <w:lang w:val="en-US"/>
    </w:rPr>
  </w:style>
  <w:style w:type="paragraph" w:styleId="NoSpacing">
    <w:name w:val="No Spacing"/>
    <w:uiPriority w:val="1"/>
    <w:qFormat/>
    <w:rsid w:val="004E401F"/>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D2ED8"/>
    <w:pPr>
      <w:contextualSpacing/>
    </w:pPr>
  </w:style>
  <w:style w:type="character" w:styleId="Emphasis">
    <w:name w:val="Emphasis"/>
    <w:basedOn w:val="DefaultParagraphFont"/>
    <w:uiPriority w:val="20"/>
    <w:qFormat/>
    <w:rsid w:val="00A352DD"/>
    <w:rPr>
      <w:i/>
      <w:iCs/>
    </w:rPr>
  </w:style>
  <w:style w:type="paragraph" w:customStyle="1" w:styleId="Default">
    <w:name w:val="Default"/>
    <w:rsid w:val="00DD6F13"/>
    <w:pPr>
      <w:autoSpaceDE w:val="0"/>
      <w:autoSpaceDN w:val="0"/>
      <w:adjustRightInd w:val="0"/>
      <w:ind w:left="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815">
      <w:bodyDiv w:val="1"/>
      <w:marLeft w:val="0"/>
      <w:marRight w:val="0"/>
      <w:marTop w:val="0"/>
      <w:marBottom w:val="0"/>
      <w:divBdr>
        <w:top w:val="none" w:sz="0" w:space="0" w:color="auto"/>
        <w:left w:val="none" w:sz="0" w:space="0" w:color="auto"/>
        <w:bottom w:val="none" w:sz="0" w:space="0" w:color="auto"/>
        <w:right w:val="none" w:sz="0" w:space="0" w:color="auto"/>
      </w:divBdr>
      <w:divsChild>
        <w:div w:id="1145050517">
          <w:marLeft w:val="0"/>
          <w:marRight w:val="0"/>
          <w:marTop w:val="0"/>
          <w:marBottom w:val="0"/>
          <w:divBdr>
            <w:top w:val="none" w:sz="0" w:space="0" w:color="auto"/>
            <w:left w:val="none" w:sz="0" w:space="0" w:color="auto"/>
            <w:bottom w:val="none" w:sz="0" w:space="0" w:color="auto"/>
            <w:right w:val="none" w:sz="0" w:space="0" w:color="auto"/>
          </w:divBdr>
        </w:div>
        <w:div w:id="191958539">
          <w:marLeft w:val="0"/>
          <w:marRight w:val="0"/>
          <w:marTop w:val="0"/>
          <w:marBottom w:val="0"/>
          <w:divBdr>
            <w:top w:val="none" w:sz="0" w:space="0" w:color="auto"/>
            <w:left w:val="none" w:sz="0" w:space="0" w:color="auto"/>
            <w:bottom w:val="none" w:sz="0" w:space="0" w:color="auto"/>
            <w:right w:val="none" w:sz="0" w:space="0" w:color="auto"/>
          </w:divBdr>
        </w:div>
        <w:div w:id="1072891338">
          <w:marLeft w:val="0"/>
          <w:marRight w:val="0"/>
          <w:marTop w:val="0"/>
          <w:marBottom w:val="0"/>
          <w:divBdr>
            <w:top w:val="none" w:sz="0" w:space="0" w:color="auto"/>
            <w:left w:val="none" w:sz="0" w:space="0" w:color="auto"/>
            <w:bottom w:val="none" w:sz="0" w:space="0" w:color="auto"/>
            <w:right w:val="none" w:sz="0" w:space="0" w:color="auto"/>
          </w:divBdr>
        </w:div>
        <w:div w:id="329141281">
          <w:marLeft w:val="0"/>
          <w:marRight w:val="0"/>
          <w:marTop w:val="0"/>
          <w:marBottom w:val="0"/>
          <w:divBdr>
            <w:top w:val="none" w:sz="0" w:space="0" w:color="auto"/>
            <w:left w:val="none" w:sz="0" w:space="0" w:color="auto"/>
            <w:bottom w:val="none" w:sz="0" w:space="0" w:color="auto"/>
            <w:right w:val="none" w:sz="0" w:space="0" w:color="auto"/>
          </w:divBdr>
        </w:div>
        <w:div w:id="508180509">
          <w:marLeft w:val="0"/>
          <w:marRight w:val="0"/>
          <w:marTop w:val="0"/>
          <w:marBottom w:val="0"/>
          <w:divBdr>
            <w:top w:val="none" w:sz="0" w:space="0" w:color="auto"/>
            <w:left w:val="none" w:sz="0" w:space="0" w:color="auto"/>
            <w:bottom w:val="none" w:sz="0" w:space="0" w:color="auto"/>
            <w:right w:val="none" w:sz="0" w:space="0" w:color="auto"/>
          </w:divBdr>
        </w:div>
        <w:div w:id="1093820333">
          <w:marLeft w:val="0"/>
          <w:marRight w:val="0"/>
          <w:marTop w:val="0"/>
          <w:marBottom w:val="0"/>
          <w:divBdr>
            <w:top w:val="none" w:sz="0" w:space="0" w:color="auto"/>
            <w:left w:val="none" w:sz="0" w:space="0" w:color="auto"/>
            <w:bottom w:val="none" w:sz="0" w:space="0" w:color="auto"/>
            <w:right w:val="none" w:sz="0" w:space="0" w:color="auto"/>
          </w:divBdr>
        </w:div>
        <w:div w:id="356588913">
          <w:marLeft w:val="0"/>
          <w:marRight w:val="0"/>
          <w:marTop w:val="0"/>
          <w:marBottom w:val="0"/>
          <w:divBdr>
            <w:top w:val="none" w:sz="0" w:space="0" w:color="auto"/>
            <w:left w:val="none" w:sz="0" w:space="0" w:color="auto"/>
            <w:bottom w:val="none" w:sz="0" w:space="0" w:color="auto"/>
            <w:right w:val="none" w:sz="0" w:space="0" w:color="auto"/>
          </w:divBdr>
        </w:div>
      </w:divsChild>
    </w:div>
    <w:div w:id="15351214">
      <w:bodyDiv w:val="1"/>
      <w:marLeft w:val="0"/>
      <w:marRight w:val="0"/>
      <w:marTop w:val="0"/>
      <w:marBottom w:val="0"/>
      <w:divBdr>
        <w:top w:val="none" w:sz="0" w:space="0" w:color="auto"/>
        <w:left w:val="none" w:sz="0" w:space="0" w:color="auto"/>
        <w:bottom w:val="none" w:sz="0" w:space="0" w:color="auto"/>
        <w:right w:val="none" w:sz="0" w:space="0" w:color="auto"/>
      </w:divBdr>
    </w:div>
    <w:div w:id="164442322">
      <w:bodyDiv w:val="1"/>
      <w:marLeft w:val="0"/>
      <w:marRight w:val="0"/>
      <w:marTop w:val="0"/>
      <w:marBottom w:val="0"/>
      <w:divBdr>
        <w:top w:val="none" w:sz="0" w:space="0" w:color="auto"/>
        <w:left w:val="none" w:sz="0" w:space="0" w:color="auto"/>
        <w:bottom w:val="none" w:sz="0" w:space="0" w:color="auto"/>
        <w:right w:val="none" w:sz="0" w:space="0" w:color="auto"/>
      </w:divBdr>
      <w:divsChild>
        <w:div w:id="60910086">
          <w:marLeft w:val="0"/>
          <w:marRight w:val="0"/>
          <w:marTop w:val="0"/>
          <w:marBottom w:val="0"/>
          <w:divBdr>
            <w:top w:val="none" w:sz="0" w:space="0" w:color="auto"/>
            <w:left w:val="none" w:sz="0" w:space="0" w:color="auto"/>
            <w:bottom w:val="none" w:sz="0" w:space="0" w:color="auto"/>
            <w:right w:val="none" w:sz="0" w:space="0" w:color="auto"/>
          </w:divBdr>
          <w:divsChild>
            <w:div w:id="1548443688">
              <w:marLeft w:val="0"/>
              <w:marRight w:val="0"/>
              <w:marTop w:val="0"/>
              <w:marBottom w:val="0"/>
              <w:divBdr>
                <w:top w:val="none" w:sz="0" w:space="0" w:color="auto"/>
                <w:left w:val="none" w:sz="0" w:space="0" w:color="auto"/>
                <w:bottom w:val="none" w:sz="0" w:space="0" w:color="auto"/>
                <w:right w:val="none" w:sz="0" w:space="0" w:color="auto"/>
              </w:divBdr>
              <w:divsChild>
                <w:div w:id="1340693036">
                  <w:marLeft w:val="0"/>
                  <w:marRight w:val="0"/>
                  <w:marTop w:val="0"/>
                  <w:marBottom w:val="0"/>
                  <w:divBdr>
                    <w:top w:val="none" w:sz="0" w:space="0" w:color="auto"/>
                    <w:left w:val="none" w:sz="0" w:space="0" w:color="auto"/>
                    <w:bottom w:val="none" w:sz="0" w:space="0" w:color="auto"/>
                    <w:right w:val="none" w:sz="0" w:space="0" w:color="auto"/>
                  </w:divBdr>
                  <w:divsChild>
                    <w:div w:id="670136621">
                      <w:marLeft w:val="0"/>
                      <w:marRight w:val="0"/>
                      <w:marTop w:val="0"/>
                      <w:marBottom w:val="0"/>
                      <w:divBdr>
                        <w:top w:val="none" w:sz="0" w:space="0" w:color="auto"/>
                        <w:left w:val="none" w:sz="0" w:space="0" w:color="auto"/>
                        <w:bottom w:val="none" w:sz="0" w:space="0" w:color="auto"/>
                        <w:right w:val="none" w:sz="0" w:space="0" w:color="auto"/>
                      </w:divBdr>
                      <w:divsChild>
                        <w:div w:id="1367367488">
                          <w:marLeft w:val="0"/>
                          <w:marRight w:val="0"/>
                          <w:marTop w:val="0"/>
                          <w:marBottom w:val="75"/>
                          <w:divBdr>
                            <w:top w:val="none" w:sz="0" w:space="0" w:color="auto"/>
                            <w:left w:val="none" w:sz="0" w:space="0" w:color="auto"/>
                            <w:bottom w:val="none" w:sz="0" w:space="0" w:color="auto"/>
                            <w:right w:val="none" w:sz="0" w:space="0" w:color="auto"/>
                          </w:divBdr>
                          <w:divsChild>
                            <w:div w:id="324365035">
                              <w:marLeft w:val="0"/>
                              <w:marRight w:val="0"/>
                              <w:marTop w:val="0"/>
                              <w:marBottom w:val="225"/>
                              <w:divBdr>
                                <w:top w:val="none" w:sz="0" w:space="0" w:color="auto"/>
                                <w:left w:val="none" w:sz="0" w:space="0" w:color="auto"/>
                                <w:bottom w:val="none" w:sz="0" w:space="0" w:color="auto"/>
                                <w:right w:val="none" w:sz="0" w:space="0" w:color="auto"/>
                              </w:divBdr>
                              <w:divsChild>
                                <w:div w:id="637149564">
                                  <w:marLeft w:val="0"/>
                                  <w:marRight w:val="0"/>
                                  <w:marTop w:val="0"/>
                                  <w:marBottom w:val="0"/>
                                  <w:divBdr>
                                    <w:top w:val="none" w:sz="0" w:space="0" w:color="auto"/>
                                    <w:left w:val="none" w:sz="0" w:space="0" w:color="auto"/>
                                    <w:bottom w:val="none" w:sz="0" w:space="0" w:color="auto"/>
                                    <w:right w:val="none" w:sz="0" w:space="0" w:color="auto"/>
                                  </w:divBdr>
                                  <w:divsChild>
                                    <w:div w:id="13523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0481">
                          <w:marLeft w:val="0"/>
                          <w:marRight w:val="0"/>
                          <w:marTop w:val="0"/>
                          <w:marBottom w:val="75"/>
                          <w:divBdr>
                            <w:top w:val="none" w:sz="0" w:space="0" w:color="auto"/>
                            <w:left w:val="none" w:sz="0" w:space="0" w:color="auto"/>
                            <w:bottom w:val="none" w:sz="0" w:space="0" w:color="auto"/>
                            <w:right w:val="none" w:sz="0" w:space="0" w:color="auto"/>
                          </w:divBdr>
                          <w:divsChild>
                            <w:div w:id="1398822711">
                              <w:marLeft w:val="0"/>
                              <w:marRight w:val="0"/>
                              <w:marTop w:val="0"/>
                              <w:marBottom w:val="225"/>
                              <w:divBdr>
                                <w:top w:val="none" w:sz="0" w:space="0" w:color="auto"/>
                                <w:left w:val="none" w:sz="0" w:space="0" w:color="auto"/>
                                <w:bottom w:val="none" w:sz="0" w:space="0" w:color="auto"/>
                                <w:right w:val="none" w:sz="0" w:space="0" w:color="auto"/>
                              </w:divBdr>
                              <w:divsChild>
                                <w:div w:id="1739160824">
                                  <w:marLeft w:val="0"/>
                                  <w:marRight w:val="0"/>
                                  <w:marTop w:val="0"/>
                                  <w:marBottom w:val="0"/>
                                  <w:divBdr>
                                    <w:top w:val="none" w:sz="0" w:space="0" w:color="auto"/>
                                    <w:left w:val="none" w:sz="0" w:space="0" w:color="auto"/>
                                    <w:bottom w:val="none" w:sz="0" w:space="0" w:color="auto"/>
                                    <w:right w:val="none" w:sz="0" w:space="0" w:color="auto"/>
                                  </w:divBdr>
                                  <w:divsChild>
                                    <w:div w:id="10237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5855">
                          <w:marLeft w:val="0"/>
                          <w:marRight w:val="0"/>
                          <w:marTop w:val="0"/>
                          <w:marBottom w:val="75"/>
                          <w:divBdr>
                            <w:top w:val="none" w:sz="0" w:space="0" w:color="auto"/>
                            <w:left w:val="none" w:sz="0" w:space="0" w:color="auto"/>
                            <w:bottom w:val="none" w:sz="0" w:space="0" w:color="auto"/>
                            <w:right w:val="none" w:sz="0" w:space="0" w:color="auto"/>
                          </w:divBdr>
                          <w:divsChild>
                            <w:div w:id="1689674282">
                              <w:marLeft w:val="0"/>
                              <w:marRight w:val="0"/>
                              <w:marTop w:val="0"/>
                              <w:marBottom w:val="225"/>
                              <w:divBdr>
                                <w:top w:val="none" w:sz="0" w:space="0" w:color="auto"/>
                                <w:left w:val="none" w:sz="0" w:space="0" w:color="auto"/>
                                <w:bottom w:val="none" w:sz="0" w:space="0" w:color="auto"/>
                                <w:right w:val="none" w:sz="0" w:space="0" w:color="auto"/>
                              </w:divBdr>
                              <w:divsChild>
                                <w:div w:id="1555459372">
                                  <w:marLeft w:val="0"/>
                                  <w:marRight w:val="0"/>
                                  <w:marTop w:val="0"/>
                                  <w:marBottom w:val="0"/>
                                  <w:divBdr>
                                    <w:top w:val="none" w:sz="0" w:space="0" w:color="auto"/>
                                    <w:left w:val="none" w:sz="0" w:space="0" w:color="auto"/>
                                    <w:bottom w:val="none" w:sz="0" w:space="0" w:color="auto"/>
                                    <w:right w:val="none" w:sz="0" w:space="0" w:color="auto"/>
                                  </w:divBdr>
                                  <w:divsChild>
                                    <w:div w:id="14497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6722">
                          <w:marLeft w:val="0"/>
                          <w:marRight w:val="0"/>
                          <w:marTop w:val="0"/>
                          <w:marBottom w:val="75"/>
                          <w:divBdr>
                            <w:top w:val="none" w:sz="0" w:space="0" w:color="auto"/>
                            <w:left w:val="none" w:sz="0" w:space="0" w:color="auto"/>
                            <w:bottom w:val="none" w:sz="0" w:space="0" w:color="auto"/>
                            <w:right w:val="none" w:sz="0" w:space="0" w:color="auto"/>
                          </w:divBdr>
                          <w:divsChild>
                            <w:div w:id="772361072">
                              <w:marLeft w:val="0"/>
                              <w:marRight w:val="0"/>
                              <w:marTop w:val="0"/>
                              <w:marBottom w:val="225"/>
                              <w:divBdr>
                                <w:top w:val="none" w:sz="0" w:space="0" w:color="auto"/>
                                <w:left w:val="none" w:sz="0" w:space="0" w:color="auto"/>
                                <w:bottom w:val="none" w:sz="0" w:space="0" w:color="auto"/>
                                <w:right w:val="none" w:sz="0" w:space="0" w:color="auto"/>
                              </w:divBdr>
                              <w:divsChild>
                                <w:div w:id="951978099">
                                  <w:marLeft w:val="0"/>
                                  <w:marRight w:val="0"/>
                                  <w:marTop w:val="0"/>
                                  <w:marBottom w:val="0"/>
                                  <w:divBdr>
                                    <w:top w:val="none" w:sz="0" w:space="0" w:color="auto"/>
                                    <w:left w:val="none" w:sz="0" w:space="0" w:color="auto"/>
                                    <w:bottom w:val="none" w:sz="0" w:space="0" w:color="auto"/>
                                    <w:right w:val="none" w:sz="0" w:space="0" w:color="auto"/>
                                  </w:divBdr>
                                  <w:divsChild>
                                    <w:div w:id="13590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8090">
                          <w:marLeft w:val="0"/>
                          <w:marRight w:val="0"/>
                          <w:marTop w:val="0"/>
                          <w:marBottom w:val="75"/>
                          <w:divBdr>
                            <w:top w:val="none" w:sz="0" w:space="0" w:color="auto"/>
                            <w:left w:val="none" w:sz="0" w:space="0" w:color="auto"/>
                            <w:bottom w:val="none" w:sz="0" w:space="0" w:color="auto"/>
                            <w:right w:val="none" w:sz="0" w:space="0" w:color="auto"/>
                          </w:divBdr>
                          <w:divsChild>
                            <w:div w:id="686712750">
                              <w:marLeft w:val="0"/>
                              <w:marRight w:val="0"/>
                              <w:marTop w:val="0"/>
                              <w:marBottom w:val="225"/>
                              <w:divBdr>
                                <w:top w:val="none" w:sz="0" w:space="0" w:color="auto"/>
                                <w:left w:val="none" w:sz="0" w:space="0" w:color="auto"/>
                                <w:bottom w:val="none" w:sz="0" w:space="0" w:color="auto"/>
                                <w:right w:val="none" w:sz="0" w:space="0" w:color="auto"/>
                              </w:divBdr>
                              <w:divsChild>
                                <w:div w:id="663584581">
                                  <w:marLeft w:val="0"/>
                                  <w:marRight w:val="0"/>
                                  <w:marTop w:val="0"/>
                                  <w:marBottom w:val="0"/>
                                  <w:divBdr>
                                    <w:top w:val="none" w:sz="0" w:space="0" w:color="auto"/>
                                    <w:left w:val="none" w:sz="0" w:space="0" w:color="auto"/>
                                    <w:bottom w:val="none" w:sz="0" w:space="0" w:color="auto"/>
                                    <w:right w:val="none" w:sz="0" w:space="0" w:color="auto"/>
                                  </w:divBdr>
                                  <w:divsChild>
                                    <w:div w:id="1346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887605">
      <w:bodyDiv w:val="1"/>
      <w:marLeft w:val="0"/>
      <w:marRight w:val="0"/>
      <w:marTop w:val="0"/>
      <w:marBottom w:val="0"/>
      <w:divBdr>
        <w:top w:val="none" w:sz="0" w:space="0" w:color="auto"/>
        <w:left w:val="none" w:sz="0" w:space="0" w:color="auto"/>
        <w:bottom w:val="none" w:sz="0" w:space="0" w:color="auto"/>
        <w:right w:val="none" w:sz="0" w:space="0" w:color="auto"/>
      </w:divBdr>
      <w:divsChild>
        <w:div w:id="1538935503">
          <w:marLeft w:val="135"/>
          <w:marRight w:val="135"/>
          <w:marTop w:val="0"/>
          <w:marBottom w:val="90"/>
          <w:divBdr>
            <w:top w:val="none" w:sz="0" w:space="0" w:color="auto"/>
            <w:left w:val="none" w:sz="0" w:space="0" w:color="auto"/>
            <w:bottom w:val="none" w:sz="0" w:space="0" w:color="auto"/>
            <w:right w:val="none" w:sz="0" w:space="0" w:color="auto"/>
          </w:divBdr>
        </w:div>
        <w:div w:id="1937056728">
          <w:marLeft w:val="135"/>
          <w:marRight w:val="135"/>
          <w:marTop w:val="0"/>
          <w:marBottom w:val="90"/>
          <w:divBdr>
            <w:top w:val="none" w:sz="0" w:space="0" w:color="auto"/>
            <w:left w:val="none" w:sz="0" w:space="0" w:color="auto"/>
            <w:bottom w:val="none" w:sz="0" w:space="0" w:color="auto"/>
            <w:right w:val="none" w:sz="0" w:space="0" w:color="auto"/>
          </w:divBdr>
        </w:div>
        <w:div w:id="897403386">
          <w:marLeft w:val="135"/>
          <w:marRight w:val="135"/>
          <w:marTop w:val="0"/>
          <w:marBottom w:val="90"/>
          <w:divBdr>
            <w:top w:val="none" w:sz="0" w:space="0" w:color="auto"/>
            <w:left w:val="none" w:sz="0" w:space="0" w:color="auto"/>
            <w:bottom w:val="none" w:sz="0" w:space="0" w:color="auto"/>
            <w:right w:val="none" w:sz="0" w:space="0" w:color="auto"/>
          </w:divBdr>
        </w:div>
        <w:div w:id="624428129">
          <w:marLeft w:val="135"/>
          <w:marRight w:val="135"/>
          <w:marTop w:val="0"/>
          <w:marBottom w:val="90"/>
          <w:divBdr>
            <w:top w:val="none" w:sz="0" w:space="0" w:color="auto"/>
            <w:left w:val="none" w:sz="0" w:space="0" w:color="auto"/>
            <w:bottom w:val="none" w:sz="0" w:space="0" w:color="auto"/>
            <w:right w:val="none" w:sz="0" w:space="0" w:color="auto"/>
          </w:divBdr>
        </w:div>
        <w:div w:id="10452133">
          <w:marLeft w:val="135"/>
          <w:marRight w:val="135"/>
          <w:marTop w:val="0"/>
          <w:marBottom w:val="90"/>
          <w:divBdr>
            <w:top w:val="none" w:sz="0" w:space="0" w:color="auto"/>
            <w:left w:val="none" w:sz="0" w:space="0" w:color="auto"/>
            <w:bottom w:val="none" w:sz="0" w:space="0" w:color="auto"/>
            <w:right w:val="none" w:sz="0" w:space="0" w:color="auto"/>
          </w:divBdr>
        </w:div>
        <w:div w:id="2139562970">
          <w:marLeft w:val="135"/>
          <w:marRight w:val="135"/>
          <w:marTop w:val="0"/>
          <w:marBottom w:val="90"/>
          <w:divBdr>
            <w:top w:val="none" w:sz="0" w:space="0" w:color="auto"/>
            <w:left w:val="none" w:sz="0" w:space="0" w:color="auto"/>
            <w:bottom w:val="none" w:sz="0" w:space="0" w:color="auto"/>
            <w:right w:val="none" w:sz="0" w:space="0" w:color="auto"/>
          </w:divBdr>
        </w:div>
        <w:div w:id="1701735441">
          <w:marLeft w:val="135"/>
          <w:marRight w:val="135"/>
          <w:marTop w:val="0"/>
          <w:marBottom w:val="90"/>
          <w:divBdr>
            <w:top w:val="none" w:sz="0" w:space="0" w:color="auto"/>
            <w:left w:val="none" w:sz="0" w:space="0" w:color="auto"/>
            <w:bottom w:val="none" w:sz="0" w:space="0" w:color="auto"/>
            <w:right w:val="none" w:sz="0" w:space="0" w:color="auto"/>
          </w:divBdr>
        </w:div>
        <w:div w:id="1590190107">
          <w:marLeft w:val="135"/>
          <w:marRight w:val="135"/>
          <w:marTop w:val="0"/>
          <w:marBottom w:val="90"/>
          <w:divBdr>
            <w:top w:val="none" w:sz="0" w:space="0" w:color="auto"/>
            <w:left w:val="none" w:sz="0" w:space="0" w:color="auto"/>
            <w:bottom w:val="none" w:sz="0" w:space="0" w:color="auto"/>
            <w:right w:val="none" w:sz="0" w:space="0" w:color="auto"/>
          </w:divBdr>
        </w:div>
      </w:divsChild>
    </w:div>
    <w:div w:id="371539540">
      <w:bodyDiv w:val="1"/>
      <w:marLeft w:val="0"/>
      <w:marRight w:val="0"/>
      <w:marTop w:val="0"/>
      <w:marBottom w:val="0"/>
      <w:divBdr>
        <w:top w:val="none" w:sz="0" w:space="0" w:color="auto"/>
        <w:left w:val="none" w:sz="0" w:space="0" w:color="auto"/>
        <w:bottom w:val="none" w:sz="0" w:space="0" w:color="auto"/>
        <w:right w:val="none" w:sz="0" w:space="0" w:color="auto"/>
      </w:divBdr>
      <w:divsChild>
        <w:div w:id="158302832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49809703">
      <w:bodyDiv w:val="1"/>
      <w:marLeft w:val="0"/>
      <w:marRight w:val="0"/>
      <w:marTop w:val="0"/>
      <w:marBottom w:val="0"/>
      <w:divBdr>
        <w:top w:val="none" w:sz="0" w:space="0" w:color="auto"/>
        <w:left w:val="none" w:sz="0" w:space="0" w:color="auto"/>
        <w:bottom w:val="none" w:sz="0" w:space="0" w:color="auto"/>
        <w:right w:val="none" w:sz="0" w:space="0" w:color="auto"/>
      </w:divBdr>
    </w:div>
    <w:div w:id="1085493198">
      <w:bodyDiv w:val="1"/>
      <w:marLeft w:val="0"/>
      <w:marRight w:val="0"/>
      <w:marTop w:val="0"/>
      <w:marBottom w:val="0"/>
      <w:divBdr>
        <w:top w:val="none" w:sz="0" w:space="0" w:color="auto"/>
        <w:left w:val="none" w:sz="0" w:space="0" w:color="auto"/>
        <w:bottom w:val="none" w:sz="0" w:space="0" w:color="auto"/>
        <w:right w:val="none" w:sz="0" w:space="0" w:color="auto"/>
      </w:divBdr>
    </w:div>
    <w:div w:id="1244727766">
      <w:bodyDiv w:val="1"/>
      <w:marLeft w:val="0"/>
      <w:marRight w:val="0"/>
      <w:marTop w:val="0"/>
      <w:marBottom w:val="0"/>
      <w:divBdr>
        <w:top w:val="none" w:sz="0" w:space="0" w:color="auto"/>
        <w:left w:val="none" w:sz="0" w:space="0" w:color="auto"/>
        <w:bottom w:val="none" w:sz="0" w:space="0" w:color="auto"/>
        <w:right w:val="none" w:sz="0" w:space="0" w:color="auto"/>
      </w:divBdr>
      <w:divsChild>
        <w:div w:id="571550299">
          <w:marLeft w:val="0"/>
          <w:marRight w:val="0"/>
          <w:marTop w:val="0"/>
          <w:marBottom w:val="0"/>
          <w:divBdr>
            <w:top w:val="none" w:sz="0" w:space="0" w:color="auto"/>
            <w:left w:val="none" w:sz="0" w:space="0" w:color="auto"/>
            <w:bottom w:val="none" w:sz="0" w:space="0" w:color="auto"/>
            <w:right w:val="none" w:sz="0" w:space="0" w:color="auto"/>
          </w:divBdr>
        </w:div>
        <w:div w:id="2064786996">
          <w:marLeft w:val="0"/>
          <w:marRight w:val="0"/>
          <w:marTop w:val="0"/>
          <w:marBottom w:val="0"/>
          <w:divBdr>
            <w:top w:val="none" w:sz="0" w:space="0" w:color="auto"/>
            <w:left w:val="none" w:sz="0" w:space="0" w:color="auto"/>
            <w:bottom w:val="none" w:sz="0" w:space="0" w:color="auto"/>
            <w:right w:val="none" w:sz="0" w:space="0" w:color="auto"/>
          </w:divBdr>
        </w:div>
        <w:div w:id="967667661">
          <w:marLeft w:val="0"/>
          <w:marRight w:val="0"/>
          <w:marTop w:val="0"/>
          <w:marBottom w:val="0"/>
          <w:divBdr>
            <w:top w:val="none" w:sz="0" w:space="0" w:color="auto"/>
            <w:left w:val="none" w:sz="0" w:space="0" w:color="auto"/>
            <w:bottom w:val="none" w:sz="0" w:space="0" w:color="auto"/>
            <w:right w:val="none" w:sz="0" w:space="0" w:color="auto"/>
          </w:divBdr>
        </w:div>
        <w:div w:id="322008563">
          <w:marLeft w:val="0"/>
          <w:marRight w:val="0"/>
          <w:marTop w:val="0"/>
          <w:marBottom w:val="0"/>
          <w:divBdr>
            <w:top w:val="none" w:sz="0" w:space="0" w:color="auto"/>
            <w:left w:val="none" w:sz="0" w:space="0" w:color="auto"/>
            <w:bottom w:val="none" w:sz="0" w:space="0" w:color="auto"/>
            <w:right w:val="none" w:sz="0" w:space="0" w:color="auto"/>
          </w:divBdr>
          <w:divsChild>
            <w:div w:id="685911724">
              <w:marLeft w:val="0"/>
              <w:marRight w:val="0"/>
              <w:marTop w:val="0"/>
              <w:marBottom w:val="0"/>
              <w:divBdr>
                <w:top w:val="none" w:sz="0" w:space="0" w:color="auto"/>
                <w:left w:val="none" w:sz="0" w:space="0" w:color="auto"/>
                <w:bottom w:val="none" w:sz="0" w:space="0" w:color="auto"/>
                <w:right w:val="none" w:sz="0" w:space="0" w:color="auto"/>
              </w:divBdr>
            </w:div>
            <w:div w:id="596909674">
              <w:marLeft w:val="0"/>
              <w:marRight w:val="0"/>
              <w:marTop w:val="0"/>
              <w:marBottom w:val="0"/>
              <w:divBdr>
                <w:top w:val="none" w:sz="0" w:space="0" w:color="auto"/>
                <w:left w:val="none" w:sz="0" w:space="0" w:color="auto"/>
                <w:bottom w:val="none" w:sz="0" w:space="0" w:color="auto"/>
                <w:right w:val="none" w:sz="0" w:space="0" w:color="auto"/>
              </w:divBdr>
            </w:div>
            <w:div w:id="1263344872">
              <w:marLeft w:val="0"/>
              <w:marRight w:val="0"/>
              <w:marTop w:val="0"/>
              <w:marBottom w:val="0"/>
              <w:divBdr>
                <w:top w:val="none" w:sz="0" w:space="0" w:color="auto"/>
                <w:left w:val="none" w:sz="0" w:space="0" w:color="auto"/>
                <w:bottom w:val="none" w:sz="0" w:space="0" w:color="auto"/>
                <w:right w:val="none" w:sz="0" w:space="0" w:color="auto"/>
              </w:divBdr>
            </w:div>
            <w:div w:id="2086297818">
              <w:marLeft w:val="0"/>
              <w:marRight w:val="0"/>
              <w:marTop w:val="0"/>
              <w:marBottom w:val="0"/>
              <w:divBdr>
                <w:top w:val="none" w:sz="0" w:space="0" w:color="auto"/>
                <w:left w:val="none" w:sz="0" w:space="0" w:color="auto"/>
                <w:bottom w:val="none" w:sz="0" w:space="0" w:color="auto"/>
                <w:right w:val="none" w:sz="0" w:space="0" w:color="auto"/>
              </w:divBdr>
            </w:div>
            <w:div w:id="597062257">
              <w:marLeft w:val="0"/>
              <w:marRight w:val="0"/>
              <w:marTop w:val="0"/>
              <w:marBottom w:val="0"/>
              <w:divBdr>
                <w:top w:val="none" w:sz="0" w:space="0" w:color="auto"/>
                <w:left w:val="none" w:sz="0" w:space="0" w:color="auto"/>
                <w:bottom w:val="none" w:sz="0" w:space="0" w:color="auto"/>
                <w:right w:val="none" w:sz="0" w:space="0" w:color="auto"/>
              </w:divBdr>
            </w:div>
          </w:divsChild>
        </w:div>
        <w:div w:id="365061361">
          <w:marLeft w:val="0"/>
          <w:marRight w:val="0"/>
          <w:marTop w:val="0"/>
          <w:marBottom w:val="0"/>
          <w:divBdr>
            <w:top w:val="none" w:sz="0" w:space="0" w:color="auto"/>
            <w:left w:val="none" w:sz="0" w:space="0" w:color="auto"/>
            <w:bottom w:val="none" w:sz="0" w:space="0" w:color="auto"/>
            <w:right w:val="none" w:sz="0" w:space="0" w:color="auto"/>
          </w:divBdr>
        </w:div>
        <w:div w:id="403144633">
          <w:marLeft w:val="0"/>
          <w:marRight w:val="0"/>
          <w:marTop w:val="0"/>
          <w:marBottom w:val="0"/>
          <w:divBdr>
            <w:top w:val="none" w:sz="0" w:space="0" w:color="auto"/>
            <w:left w:val="none" w:sz="0" w:space="0" w:color="auto"/>
            <w:bottom w:val="none" w:sz="0" w:space="0" w:color="auto"/>
            <w:right w:val="none" w:sz="0" w:space="0" w:color="auto"/>
          </w:divBdr>
        </w:div>
        <w:div w:id="2095935354">
          <w:marLeft w:val="0"/>
          <w:marRight w:val="0"/>
          <w:marTop w:val="0"/>
          <w:marBottom w:val="0"/>
          <w:divBdr>
            <w:top w:val="none" w:sz="0" w:space="0" w:color="auto"/>
            <w:left w:val="none" w:sz="0" w:space="0" w:color="auto"/>
            <w:bottom w:val="none" w:sz="0" w:space="0" w:color="auto"/>
            <w:right w:val="none" w:sz="0" w:space="0" w:color="auto"/>
          </w:divBdr>
          <w:divsChild>
            <w:div w:id="339889277">
              <w:marLeft w:val="0"/>
              <w:marRight w:val="0"/>
              <w:marTop w:val="0"/>
              <w:marBottom w:val="0"/>
              <w:divBdr>
                <w:top w:val="none" w:sz="0" w:space="0" w:color="auto"/>
                <w:left w:val="none" w:sz="0" w:space="0" w:color="auto"/>
                <w:bottom w:val="none" w:sz="0" w:space="0" w:color="auto"/>
                <w:right w:val="none" w:sz="0" w:space="0" w:color="auto"/>
              </w:divBdr>
            </w:div>
          </w:divsChild>
        </w:div>
        <w:div w:id="2027711276">
          <w:marLeft w:val="0"/>
          <w:marRight w:val="0"/>
          <w:marTop w:val="0"/>
          <w:marBottom w:val="0"/>
          <w:divBdr>
            <w:top w:val="none" w:sz="0" w:space="0" w:color="auto"/>
            <w:left w:val="none" w:sz="0" w:space="0" w:color="auto"/>
            <w:bottom w:val="none" w:sz="0" w:space="0" w:color="auto"/>
            <w:right w:val="none" w:sz="0" w:space="0" w:color="auto"/>
          </w:divBdr>
          <w:divsChild>
            <w:div w:id="1055200154">
              <w:marLeft w:val="0"/>
              <w:marRight w:val="0"/>
              <w:marTop w:val="0"/>
              <w:marBottom w:val="0"/>
              <w:divBdr>
                <w:top w:val="none" w:sz="0" w:space="0" w:color="auto"/>
                <w:left w:val="none" w:sz="0" w:space="0" w:color="auto"/>
                <w:bottom w:val="none" w:sz="0" w:space="0" w:color="auto"/>
                <w:right w:val="none" w:sz="0" w:space="0" w:color="auto"/>
              </w:divBdr>
            </w:div>
          </w:divsChild>
        </w:div>
        <w:div w:id="937909188">
          <w:marLeft w:val="0"/>
          <w:marRight w:val="0"/>
          <w:marTop w:val="0"/>
          <w:marBottom w:val="0"/>
          <w:divBdr>
            <w:top w:val="none" w:sz="0" w:space="0" w:color="auto"/>
            <w:left w:val="none" w:sz="0" w:space="0" w:color="auto"/>
            <w:bottom w:val="none" w:sz="0" w:space="0" w:color="auto"/>
            <w:right w:val="none" w:sz="0" w:space="0" w:color="auto"/>
          </w:divBdr>
          <w:divsChild>
            <w:div w:id="494688839">
              <w:marLeft w:val="0"/>
              <w:marRight w:val="0"/>
              <w:marTop w:val="0"/>
              <w:marBottom w:val="0"/>
              <w:divBdr>
                <w:top w:val="none" w:sz="0" w:space="0" w:color="auto"/>
                <w:left w:val="none" w:sz="0" w:space="0" w:color="auto"/>
                <w:bottom w:val="none" w:sz="0" w:space="0" w:color="auto"/>
                <w:right w:val="none" w:sz="0" w:space="0" w:color="auto"/>
              </w:divBdr>
            </w:div>
            <w:div w:id="2039962542">
              <w:marLeft w:val="0"/>
              <w:marRight w:val="0"/>
              <w:marTop w:val="0"/>
              <w:marBottom w:val="0"/>
              <w:divBdr>
                <w:top w:val="none" w:sz="0" w:space="0" w:color="auto"/>
                <w:left w:val="none" w:sz="0" w:space="0" w:color="auto"/>
                <w:bottom w:val="none" w:sz="0" w:space="0" w:color="auto"/>
                <w:right w:val="none" w:sz="0" w:space="0" w:color="auto"/>
              </w:divBdr>
            </w:div>
            <w:div w:id="1227254765">
              <w:marLeft w:val="0"/>
              <w:marRight w:val="0"/>
              <w:marTop w:val="0"/>
              <w:marBottom w:val="0"/>
              <w:divBdr>
                <w:top w:val="none" w:sz="0" w:space="0" w:color="auto"/>
                <w:left w:val="none" w:sz="0" w:space="0" w:color="auto"/>
                <w:bottom w:val="none" w:sz="0" w:space="0" w:color="auto"/>
                <w:right w:val="none" w:sz="0" w:space="0" w:color="auto"/>
              </w:divBdr>
            </w:div>
            <w:div w:id="2107460872">
              <w:marLeft w:val="0"/>
              <w:marRight w:val="0"/>
              <w:marTop w:val="0"/>
              <w:marBottom w:val="0"/>
              <w:divBdr>
                <w:top w:val="none" w:sz="0" w:space="0" w:color="auto"/>
                <w:left w:val="none" w:sz="0" w:space="0" w:color="auto"/>
                <w:bottom w:val="none" w:sz="0" w:space="0" w:color="auto"/>
                <w:right w:val="none" w:sz="0" w:space="0" w:color="auto"/>
              </w:divBdr>
            </w:div>
          </w:divsChild>
        </w:div>
        <w:div w:id="1255750851">
          <w:marLeft w:val="0"/>
          <w:marRight w:val="0"/>
          <w:marTop w:val="0"/>
          <w:marBottom w:val="0"/>
          <w:divBdr>
            <w:top w:val="none" w:sz="0" w:space="0" w:color="auto"/>
            <w:left w:val="none" w:sz="0" w:space="0" w:color="auto"/>
            <w:bottom w:val="none" w:sz="0" w:space="0" w:color="auto"/>
            <w:right w:val="none" w:sz="0" w:space="0" w:color="auto"/>
          </w:divBdr>
          <w:divsChild>
            <w:div w:id="353654959">
              <w:marLeft w:val="0"/>
              <w:marRight w:val="0"/>
              <w:marTop w:val="0"/>
              <w:marBottom w:val="0"/>
              <w:divBdr>
                <w:top w:val="none" w:sz="0" w:space="0" w:color="auto"/>
                <w:left w:val="none" w:sz="0" w:space="0" w:color="auto"/>
                <w:bottom w:val="none" w:sz="0" w:space="0" w:color="auto"/>
                <w:right w:val="none" w:sz="0" w:space="0" w:color="auto"/>
              </w:divBdr>
            </w:div>
          </w:divsChild>
        </w:div>
        <w:div w:id="1415129004">
          <w:marLeft w:val="0"/>
          <w:marRight w:val="0"/>
          <w:marTop w:val="0"/>
          <w:marBottom w:val="0"/>
          <w:divBdr>
            <w:top w:val="none" w:sz="0" w:space="0" w:color="auto"/>
            <w:left w:val="none" w:sz="0" w:space="0" w:color="auto"/>
            <w:bottom w:val="none" w:sz="0" w:space="0" w:color="auto"/>
            <w:right w:val="none" w:sz="0" w:space="0" w:color="auto"/>
          </w:divBdr>
          <w:divsChild>
            <w:div w:id="722753607">
              <w:marLeft w:val="0"/>
              <w:marRight w:val="0"/>
              <w:marTop w:val="0"/>
              <w:marBottom w:val="0"/>
              <w:divBdr>
                <w:top w:val="none" w:sz="0" w:space="0" w:color="auto"/>
                <w:left w:val="none" w:sz="0" w:space="0" w:color="auto"/>
                <w:bottom w:val="none" w:sz="0" w:space="0" w:color="auto"/>
                <w:right w:val="none" w:sz="0" w:space="0" w:color="auto"/>
              </w:divBdr>
            </w:div>
            <w:div w:id="739450693">
              <w:marLeft w:val="0"/>
              <w:marRight w:val="0"/>
              <w:marTop w:val="0"/>
              <w:marBottom w:val="0"/>
              <w:divBdr>
                <w:top w:val="none" w:sz="0" w:space="0" w:color="auto"/>
                <w:left w:val="none" w:sz="0" w:space="0" w:color="auto"/>
                <w:bottom w:val="none" w:sz="0" w:space="0" w:color="auto"/>
                <w:right w:val="none" w:sz="0" w:space="0" w:color="auto"/>
              </w:divBdr>
            </w:div>
            <w:div w:id="603610397">
              <w:marLeft w:val="0"/>
              <w:marRight w:val="0"/>
              <w:marTop w:val="0"/>
              <w:marBottom w:val="0"/>
              <w:divBdr>
                <w:top w:val="none" w:sz="0" w:space="0" w:color="auto"/>
                <w:left w:val="none" w:sz="0" w:space="0" w:color="auto"/>
                <w:bottom w:val="none" w:sz="0" w:space="0" w:color="auto"/>
                <w:right w:val="none" w:sz="0" w:space="0" w:color="auto"/>
              </w:divBdr>
            </w:div>
          </w:divsChild>
        </w:div>
        <w:div w:id="288051039">
          <w:marLeft w:val="0"/>
          <w:marRight w:val="0"/>
          <w:marTop w:val="0"/>
          <w:marBottom w:val="0"/>
          <w:divBdr>
            <w:top w:val="none" w:sz="0" w:space="0" w:color="auto"/>
            <w:left w:val="none" w:sz="0" w:space="0" w:color="auto"/>
            <w:bottom w:val="none" w:sz="0" w:space="0" w:color="auto"/>
            <w:right w:val="none" w:sz="0" w:space="0" w:color="auto"/>
          </w:divBdr>
        </w:div>
        <w:div w:id="1133446269">
          <w:marLeft w:val="0"/>
          <w:marRight w:val="0"/>
          <w:marTop w:val="0"/>
          <w:marBottom w:val="0"/>
          <w:divBdr>
            <w:top w:val="none" w:sz="0" w:space="0" w:color="auto"/>
            <w:left w:val="none" w:sz="0" w:space="0" w:color="auto"/>
            <w:bottom w:val="none" w:sz="0" w:space="0" w:color="auto"/>
            <w:right w:val="none" w:sz="0" w:space="0" w:color="auto"/>
          </w:divBdr>
          <w:divsChild>
            <w:div w:id="406417346">
              <w:marLeft w:val="0"/>
              <w:marRight w:val="0"/>
              <w:marTop w:val="0"/>
              <w:marBottom w:val="0"/>
              <w:divBdr>
                <w:top w:val="none" w:sz="0" w:space="0" w:color="auto"/>
                <w:left w:val="none" w:sz="0" w:space="0" w:color="auto"/>
                <w:bottom w:val="none" w:sz="0" w:space="0" w:color="auto"/>
                <w:right w:val="none" w:sz="0" w:space="0" w:color="auto"/>
              </w:divBdr>
            </w:div>
            <w:div w:id="328945478">
              <w:marLeft w:val="0"/>
              <w:marRight w:val="0"/>
              <w:marTop w:val="0"/>
              <w:marBottom w:val="0"/>
              <w:divBdr>
                <w:top w:val="none" w:sz="0" w:space="0" w:color="auto"/>
                <w:left w:val="none" w:sz="0" w:space="0" w:color="auto"/>
                <w:bottom w:val="none" w:sz="0" w:space="0" w:color="auto"/>
                <w:right w:val="none" w:sz="0" w:space="0" w:color="auto"/>
              </w:divBdr>
            </w:div>
            <w:div w:id="1427851149">
              <w:marLeft w:val="0"/>
              <w:marRight w:val="0"/>
              <w:marTop w:val="0"/>
              <w:marBottom w:val="0"/>
              <w:divBdr>
                <w:top w:val="none" w:sz="0" w:space="0" w:color="auto"/>
                <w:left w:val="none" w:sz="0" w:space="0" w:color="auto"/>
                <w:bottom w:val="none" w:sz="0" w:space="0" w:color="auto"/>
                <w:right w:val="none" w:sz="0" w:space="0" w:color="auto"/>
              </w:divBdr>
            </w:div>
            <w:div w:id="295718255">
              <w:marLeft w:val="0"/>
              <w:marRight w:val="0"/>
              <w:marTop w:val="0"/>
              <w:marBottom w:val="0"/>
              <w:divBdr>
                <w:top w:val="none" w:sz="0" w:space="0" w:color="auto"/>
                <w:left w:val="none" w:sz="0" w:space="0" w:color="auto"/>
                <w:bottom w:val="none" w:sz="0" w:space="0" w:color="auto"/>
                <w:right w:val="none" w:sz="0" w:space="0" w:color="auto"/>
              </w:divBdr>
            </w:div>
          </w:divsChild>
        </w:div>
        <w:div w:id="999576826">
          <w:marLeft w:val="0"/>
          <w:marRight w:val="0"/>
          <w:marTop w:val="0"/>
          <w:marBottom w:val="0"/>
          <w:divBdr>
            <w:top w:val="none" w:sz="0" w:space="0" w:color="auto"/>
            <w:left w:val="none" w:sz="0" w:space="0" w:color="auto"/>
            <w:bottom w:val="none" w:sz="0" w:space="0" w:color="auto"/>
            <w:right w:val="none" w:sz="0" w:space="0" w:color="auto"/>
          </w:divBdr>
        </w:div>
        <w:div w:id="481042062">
          <w:marLeft w:val="0"/>
          <w:marRight w:val="0"/>
          <w:marTop w:val="0"/>
          <w:marBottom w:val="0"/>
          <w:divBdr>
            <w:top w:val="none" w:sz="0" w:space="0" w:color="auto"/>
            <w:left w:val="none" w:sz="0" w:space="0" w:color="auto"/>
            <w:bottom w:val="none" w:sz="0" w:space="0" w:color="auto"/>
            <w:right w:val="none" w:sz="0" w:space="0" w:color="auto"/>
          </w:divBdr>
          <w:divsChild>
            <w:div w:id="346372633">
              <w:marLeft w:val="0"/>
              <w:marRight w:val="0"/>
              <w:marTop w:val="0"/>
              <w:marBottom w:val="0"/>
              <w:divBdr>
                <w:top w:val="none" w:sz="0" w:space="0" w:color="auto"/>
                <w:left w:val="none" w:sz="0" w:space="0" w:color="auto"/>
                <w:bottom w:val="none" w:sz="0" w:space="0" w:color="auto"/>
                <w:right w:val="none" w:sz="0" w:space="0" w:color="auto"/>
              </w:divBdr>
            </w:div>
            <w:div w:id="1467238268">
              <w:marLeft w:val="0"/>
              <w:marRight w:val="0"/>
              <w:marTop w:val="0"/>
              <w:marBottom w:val="0"/>
              <w:divBdr>
                <w:top w:val="none" w:sz="0" w:space="0" w:color="auto"/>
                <w:left w:val="none" w:sz="0" w:space="0" w:color="auto"/>
                <w:bottom w:val="none" w:sz="0" w:space="0" w:color="auto"/>
                <w:right w:val="none" w:sz="0" w:space="0" w:color="auto"/>
              </w:divBdr>
            </w:div>
            <w:div w:id="2084059374">
              <w:marLeft w:val="0"/>
              <w:marRight w:val="0"/>
              <w:marTop w:val="0"/>
              <w:marBottom w:val="0"/>
              <w:divBdr>
                <w:top w:val="none" w:sz="0" w:space="0" w:color="auto"/>
                <w:left w:val="none" w:sz="0" w:space="0" w:color="auto"/>
                <w:bottom w:val="none" w:sz="0" w:space="0" w:color="auto"/>
                <w:right w:val="none" w:sz="0" w:space="0" w:color="auto"/>
              </w:divBdr>
            </w:div>
            <w:div w:id="545678550">
              <w:marLeft w:val="0"/>
              <w:marRight w:val="0"/>
              <w:marTop w:val="0"/>
              <w:marBottom w:val="0"/>
              <w:divBdr>
                <w:top w:val="none" w:sz="0" w:space="0" w:color="auto"/>
                <w:left w:val="none" w:sz="0" w:space="0" w:color="auto"/>
                <w:bottom w:val="none" w:sz="0" w:space="0" w:color="auto"/>
                <w:right w:val="none" w:sz="0" w:space="0" w:color="auto"/>
              </w:divBdr>
            </w:div>
            <w:div w:id="284193750">
              <w:marLeft w:val="0"/>
              <w:marRight w:val="0"/>
              <w:marTop w:val="0"/>
              <w:marBottom w:val="0"/>
              <w:divBdr>
                <w:top w:val="none" w:sz="0" w:space="0" w:color="auto"/>
                <w:left w:val="none" w:sz="0" w:space="0" w:color="auto"/>
                <w:bottom w:val="none" w:sz="0" w:space="0" w:color="auto"/>
                <w:right w:val="none" w:sz="0" w:space="0" w:color="auto"/>
              </w:divBdr>
            </w:div>
            <w:div w:id="137848284">
              <w:marLeft w:val="0"/>
              <w:marRight w:val="0"/>
              <w:marTop w:val="0"/>
              <w:marBottom w:val="0"/>
              <w:divBdr>
                <w:top w:val="none" w:sz="0" w:space="0" w:color="auto"/>
                <w:left w:val="none" w:sz="0" w:space="0" w:color="auto"/>
                <w:bottom w:val="none" w:sz="0" w:space="0" w:color="auto"/>
                <w:right w:val="none" w:sz="0" w:space="0" w:color="auto"/>
              </w:divBdr>
            </w:div>
            <w:div w:id="1431664676">
              <w:marLeft w:val="0"/>
              <w:marRight w:val="0"/>
              <w:marTop w:val="0"/>
              <w:marBottom w:val="0"/>
              <w:divBdr>
                <w:top w:val="none" w:sz="0" w:space="0" w:color="auto"/>
                <w:left w:val="none" w:sz="0" w:space="0" w:color="auto"/>
                <w:bottom w:val="none" w:sz="0" w:space="0" w:color="auto"/>
                <w:right w:val="none" w:sz="0" w:space="0" w:color="auto"/>
              </w:divBdr>
            </w:div>
            <w:div w:id="772092004">
              <w:marLeft w:val="0"/>
              <w:marRight w:val="0"/>
              <w:marTop w:val="0"/>
              <w:marBottom w:val="0"/>
              <w:divBdr>
                <w:top w:val="none" w:sz="0" w:space="0" w:color="auto"/>
                <w:left w:val="none" w:sz="0" w:space="0" w:color="auto"/>
                <w:bottom w:val="none" w:sz="0" w:space="0" w:color="auto"/>
                <w:right w:val="none" w:sz="0" w:space="0" w:color="auto"/>
              </w:divBdr>
            </w:div>
            <w:div w:id="2008556488">
              <w:marLeft w:val="0"/>
              <w:marRight w:val="0"/>
              <w:marTop w:val="0"/>
              <w:marBottom w:val="0"/>
              <w:divBdr>
                <w:top w:val="none" w:sz="0" w:space="0" w:color="auto"/>
                <w:left w:val="none" w:sz="0" w:space="0" w:color="auto"/>
                <w:bottom w:val="none" w:sz="0" w:space="0" w:color="auto"/>
                <w:right w:val="none" w:sz="0" w:space="0" w:color="auto"/>
              </w:divBdr>
            </w:div>
            <w:div w:id="1320110463">
              <w:marLeft w:val="0"/>
              <w:marRight w:val="0"/>
              <w:marTop w:val="0"/>
              <w:marBottom w:val="0"/>
              <w:divBdr>
                <w:top w:val="none" w:sz="0" w:space="0" w:color="auto"/>
                <w:left w:val="none" w:sz="0" w:space="0" w:color="auto"/>
                <w:bottom w:val="none" w:sz="0" w:space="0" w:color="auto"/>
                <w:right w:val="none" w:sz="0" w:space="0" w:color="auto"/>
              </w:divBdr>
            </w:div>
            <w:div w:id="938491068">
              <w:marLeft w:val="0"/>
              <w:marRight w:val="0"/>
              <w:marTop w:val="0"/>
              <w:marBottom w:val="0"/>
              <w:divBdr>
                <w:top w:val="none" w:sz="0" w:space="0" w:color="auto"/>
                <w:left w:val="none" w:sz="0" w:space="0" w:color="auto"/>
                <w:bottom w:val="none" w:sz="0" w:space="0" w:color="auto"/>
                <w:right w:val="none" w:sz="0" w:space="0" w:color="auto"/>
              </w:divBdr>
            </w:div>
            <w:div w:id="493760418">
              <w:marLeft w:val="0"/>
              <w:marRight w:val="0"/>
              <w:marTop w:val="0"/>
              <w:marBottom w:val="0"/>
              <w:divBdr>
                <w:top w:val="none" w:sz="0" w:space="0" w:color="auto"/>
                <w:left w:val="none" w:sz="0" w:space="0" w:color="auto"/>
                <w:bottom w:val="none" w:sz="0" w:space="0" w:color="auto"/>
                <w:right w:val="none" w:sz="0" w:space="0" w:color="auto"/>
              </w:divBdr>
            </w:div>
            <w:div w:id="1875145272">
              <w:marLeft w:val="0"/>
              <w:marRight w:val="0"/>
              <w:marTop w:val="0"/>
              <w:marBottom w:val="0"/>
              <w:divBdr>
                <w:top w:val="none" w:sz="0" w:space="0" w:color="auto"/>
                <w:left w:val="none" w:sz="0" w:space="0" w:color="auto"/>
                <w:bottom w:val="none" w:sz="0" w:space="0" w:color="auto"/>
                <w:right w:val="none" w:sz="0" w:space="0" w:color="auto"/>
              </w:divBdr>
            </w:div>
            <w:div w:id="1854148418">
              <w:marLeft w:val="0"/>
              <w:marRight w:val="0"/>
              <w:marTop w:val="0"/>
              <w:marBottom w:val="0"/>
              <w:divBdr>
                <w:top w:val="none" w:sz="0" w:space="0" w:color="auto"/>
                <w:left w:val="none" w:sz="0" w:space="0" w:color="auto"/>
                <w:bottom w:val="none" w:sz="0" w:space="0" w:color="auto"/>
                <w:right w:val="none" w:sz="0" w:space="0" w:color="auto"/>
              </w:divBdr>
            </w:div>
            <w:div w:id="1522040595">
              <w:marLeft w:val="0"/>
              <w:marRight w:val="0"/>
              <w:marTop w:val="0"/>
              <w:marBottom w:val="0"/>
              <w:divBdr>
                <w:top w:val="none" w:sz="0" w:space="0" w:color="auto"/>
                <w:left w:val="none" w:sz="0" w:space="0" w:color="auto"/>
                <w:bottom w:val="none" w:sz="0" w:space="0" w:color="auto"/>
                <w:right w:val="none" w:sz="0" w:space="0" w:color="auto"/>
              </w:divBdr>
            </w:div>
            <w:div w:id="529300890">
              <w:marLeft w:val="0"/>
              <w:marRight w:val="0"/>
              <w:marTop w:val="0"/>
              <w:marBottom w:val="0"/>
              <w:divBdr>
                <w:top w:val="none" w:sz="0" w:space="0" w:color="auto"/>
                <w:left w:val="none" w:sz="0" w:space="0" w:color="auto"/>
                <w:bottom w:val="none" w:sz="0" w:space="0" w:color="auto"/>
                <w:right w:val="none" w:sz="0" w:space="0" w:color="auto"/>
              </w:divBdr>
            </w:div>
            <w:div w:id="738940773">
              <w:marLeft w:val="0"/>
              <w:marRight w:val="0"/>
              <w:marTop w:val="0"/>
              <w:marBottom w:val="0"/>
              <w:divBdr>
                <w:top w:val="none" w:sz="0" w:space="0" w:color="auto"/>
                <w:left w:val="none" w:sz="0" w:space="0" w:color="auto"/>
                <w:bottom w:val="none" w:sz="0" w:space="0" w:color="auto"/>
                <w:right w:val="none" w:sz="0" w:space="0" w:color="auto"/>
              </w:divBdr>
            </w:div>
            <w:div w:id="1807039780">
              <w:marLeft w:val="0"/>
              <w:marRight w:val="0"/>
              <w:marTop w:val="0"/>
              <w:marBottom w:val="0"/>
              <w:divBdr>
                <w:top w:val="none" w:sz="0" w:space="0" w:color="auto"/>
                <w:left w:val="none" w:sz="0" w:space="0" w:color="auto"/>
                <w:bottom w:val="none" w:sz="0" w:space="0" w:color="auto"/>
                <w:right w:val="none" w:sz="0" w:space="0" w:color="auto"/>
              </w:divBdr>
            </w:div>
            <w:div w:id="651912513">
              <w:marLeft w:val="0"/>
              <w:marRight w:val="0"/>
              <w:marTop w:val="0"/>
              <w:marBottom w:val="0"/>
              <w:divBdr>
                <w:top w:val="none" w:sz="0" w:space="0" w:color="auto"/>
                <w:left w:val="none" w:sz="0" w:space="0" w:color="auto"/>
                <w:bottom w:val="none" w:sz="0" w:space="0" w:color="auto"/>
                <w:right w:val="none" w:sz="0" w:space="0" w:color="auto"/>
              </w:divBdr>
            </w:div>
            <w:div w:id="466824779">
              <w:marLeft w:val="0"/>
              <w:marRight w:val="0"/>
              <w:marTop w:val="0"/>
              <w:marBottom w:val="0"/>
              <w:divBdr>
                <w:top w:val="none" w:sz="0" w:space="0" w:color="auto"/>
                <w:left w:val="none" w:sz="0" w:space="0" w:color="auto"/>
                <w:bottom w:val="none" w:sz="0" w:space="0" w:color="auto"/>
                <w:right w:val="none" w:sz="0" w:space="0" w:color="auto"/>
              </w:divBdr>
            </w:div>
            <w:div w:id="91512032">
              <w:marLeft w:val="0"/>
              <w:marRight w:val="0"/>
              <w:marTop w:val="0"/>
              <w:marBottom w:val="0"/>
              <w:divBdr>
                <w:top w:val="none" w:sz="0" w:space="0" w:color="auto"/>
                <w:left w:val="none" w:sz="0" w:space="0" w:color="auto"/>
                <w:bottom w:val="none" w:sz="0" w:space="0" w:color="auto"/>
                <w:right w:val="none" w:sz="0" w:space="0" w:color="auto"/>
              </w:divBdr>
            </w:div>
            <w:div w:id="638649076">
              <w:marLeft w:val="0"/>
              <w:marRight w:val="0"/>
              <w:marTop w:val="0"/>
              <w:marBottom w:val="0"/>
              <w:divBdr>
                <w:top w:val="none" w:sz="0" w:space="0" w:color="auto"/>
                <w:left w:val="none" w:sz="0" w:space="0" w:color="auto"/>
                <w:bottom w:val="none" w:sz="0" w:space="0" w:color="auto"/>
                <w:right w:val="none" w:sz="0" w:space="0" w:color="auto"/>
              </w:divBdr>
            </w:div>
            <w:div w:id="1268268696">
              <w:marLeft w:val="0"/>
              <w:marRight w:val="0"/>
              <w:marTop w:val="0"/>
              <w:marBottom w:val="0"/>
              <w:divBdr>
                <w:top w:val="none" w:sz="0" w:space="0" w:color="auto"/>
                <w:left w:val="none" w:sz="0" w:space="0" w:color="auto"/>
                <w:bottom w:val="none" w:sz="0" w:space="0" w:color="auto"/>
                <w:right w:val="none" w:sz="0" w:space="0" w:color="auto"/>
              </w:divBdr>
            </w:div>
            <w:div w:id="16966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dc:creator>
  <cp:keywords/>
  <dc:description/>
  <cp:lastModifiedBy>Riya Xavier</cp:lastModifiedBy>
  <cp:revision>3</cp:revision>
  <cp:lastPrinted>2018-08-16T10:49:00Z</cp:lastPrinted>
  <dcterms:created xsi:type="dcterms:W3CDTF">2018-08-27T04:59:00Z</dcterms:created>
  <dcterms:modified xsi:type="dcterms:W3CDTF">2018-08-27T05:02:00Z</dcterms:modified>
</cp:coreProperties>
</file>